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0B" w:rsidRDefault="00DB790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color w:val="111111"/>
          <w:szCs w:val="20"/>
          <w:shd w:val="clear" w:color="auto" w:fill="FFFFFF"/>
        </w:rPr>
        <w:t>Wymagania edukacyjne na poszczególne oceny z</w:t>
      </w:r>
      <w:r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="001334F5">
        <w:t>religii dla klasy 5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6F3B0F" w:rsidRPr="003745EE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</w:p>
    <w:p w:rsidR="00887F01" w:rsidRDefault="00E20063" w:rsidP="00022DE5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</w:t>
      </w:r>
      <w:r w:rsidR="003745EE">
        <w:rPr>
          <w:b w:val="0"/>
          <w:szCs w:val="22"/>
        </w:rPr>
        <w:t xml:space="preserve">złowieka” </w:t>
      </w: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="00022DE5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lastRenderedPageBreak/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561B70" w:rsidP="00A55453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</w:p>
          <w:p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międzywiarą a wiedzą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wsamotności</w:t>
            </w:r>
          </w:p>
          <w:p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</w:p>
        </w:tc>
        <w:tc>
          <w:tcPr>
            <w:tcW w:w="2836" w:type="dxa"/>
          </w:tcPr>
          <w:p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pojęciewiary i wiedzy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</w:p>
          <w:p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postawy 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źródłempoznania prawdy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</w:p>
          <w:p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znagatunki literackich w Biblii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czlowiek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wyrażaniawdzięczności za dar wiary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</w:p>
          <w:p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</w:p>
          <w:p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:rsidTr="00804BA4">
        <w:trPr>
          <w:trHeight w:val="6610"/>
        </w:trPr>
        <w:tc>
          <w:tcPr>
            <w:tcW w:w="1276" w:type="dxa"/>
          </w:tcPr>
          <w:p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</w:p>
          <w:p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:rsidR="00C7096B" w:rsidRPr="006E1C7E" w:rsidRDefault="006E1C7E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:rsidTr="00804BA4">
        <w:trPr>
          <w:trHeight w:val="6610"/>
        </w:trPr>
        <w:tc>
          <w:tcPr>
            <w:tcW w:w="1276" w:type="dxa"/>
          </w:tcPr>
          <w:p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potraﬁ  wyjaśnić, czym jest dzisiaj przepowiadanie kerygmatyczne i do kogo jest kierowane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:rsidTr="00804BA4">
        <w:trPr>
          <w:trHeight w:val="9062"/>
        </w:trPr>
        <w:tc>
          <w:tcPr>
            <w:tcW w:w="1276" w:type="dxa"/>
          </w:tcPr>
          <w:p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:rsidTr="00804BA4">
        <w:trPr>
          <w:trHeight w:val="12367"/>
        </w:trPr>
        <w:tc>
          <w:tcPr>
            <w:tcW w:w="1276" w:type="dxa"/>
          </w:tcPr>
          <w:p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:rsidTr="00804BA4">
        <w:trPr>
          <w:trHeight w:val="10194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paraliturgiczne formy świętowania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 (B.2.3)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:rsidTr="00804BA4">
        <w:trPr>
          <w:trHeight w:val="8495"/>
        </w:trPr>
        <w:tc>
          <w:tcPr>
            <w:tcW w:w="1276" w:type="dxa"/>
          </w:tcPr>
          <w:p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804BA4" w:rsidRPr="008F518B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04BA4" w:rsidRPr="00842557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7B" w:rsidRDefault="007F2B7B" w:rsidP="001D2420">
      <w:pPr>
        <w:spacing w:after="0" w:line="240" w:lineRule="auto"/>
      </w:pPr>
      <w:r>
        <w:separator/>
      </w:r>
    </w:p>
  </w:endnote>
  <w:endnote w:type="continuationSeparator" w:id="1">
    <w:p w:rsidR="007F2B7B" w:rsidRDefault="007F2B7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7B" w:rsidRDefault="007F2B7B" w:rsidP="001D2420">
      <w:pPr>
        <w:spacing w:after="0" w:line="240" w:lineRule="auto"/>
      </w:pPr>
      <w:r>
        <w:separator/>
      </w:r>
    </w:p>
  </w:footnote>
  <w:footnote w:type="continuationSeparator" w:id="1">
    <w:p w:rsidR="007F2B7B" w:rsidRDefault="007F2B7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A4" w:rsidRDefault="00804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2DE5"/>
    <w:rsid w:val="00026D4B"/>
    <w:rsid w:val="00027B98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334F5"/>
    <w:rsid w:val="00146519"/>
    <w:rsid w:val="00161FDB"/>
    <w:rsid w:val="00172716"/>
    <w:rsid w:val="00180E25"/>
    <w:rsid w:val="001A54DD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745EE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628E2"/>
    <w:rsid w:val="007917BE"/>
    <w:rsid w:val="007A4B83"/>
    <w:rsid w:val="007E0F00"/>
    <w:rsid w:val="007F2B7B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828C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B790B"/>
    <w:rsid w:val="00DC0FE7"/>
    <w:rsid w:val="00DD3363"/>
    <w:rsid w:val="00DE32E3"/>
    <w:rsid w:val="00DE3ABD"/>
    <w:rsid w:val="00DE5AD9"/>
    <w:rsid w:val="00DF28A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3242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6</cp:revision>
  <dcterms:created xsi:type="dcterms:W3CDTF">2023-10-01T17:25:00Z</dcterms:created>
  <dcterms:modified xsi:type="dcterms:W3CDTF">2023-10-01T17:59:00Z</dcterms:modified>
</cp:coreProperties>
</file>