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b/>
          <w:lang w:val="sk-SK"/>
        </w:rPr>
        <w:t>ZMLUVA č. ZD12-2022-1</w:t>
      </w:r>
      <w:r>
        <w:rPr>
          <w:b/>
          <w:lang w:val="sk-SK"/>
        </w:rPr>
        <w:t>1</w:t>
      </w:r>
      <w:r>
        <w:rPr>
          <w:b/>
          <w:lang w:val="sk-SK"/>
        </w:rPr>
        <w:t>-</w:t>
      </w:r>
      <w:r>
        <w:rPr>
          <w:b/>
          <w:lang w:val="sk-SK"/>
        </w:rPr>
        <w:t>09</w:t>
      </w:r>
      <w:r>
        <w:rPr>
          <w:b/>
          <w:lang w:val="sk-SK"/>
        </w:rPr>
        <w:t>-31-01</w:t>
      </w:r>
    </w:p>
    <w:p>
      <w:pPr>
        <w:pStyle w:val="Normal"/>
        <w:jc w:val="center"/>
        <w:rPr>
          <w:b/>
          <w:b/>
          <w:lang w:val="sk-SK"/>
        </w:rPr>
      </w:pPr>
      <w:r>
        <w:rPr>
          <w:b/>
          <w:lang w:val="sk-SK"/>
        </w:rPr>
      </w:r>
    </w:p>
    <w:p>
      <w:pPr>
        <w:pStyle w:val="Normal"/>
        <w:jc w:val="center"/>
        <w:rPr>
          <w:lang w:val="sk-SK"/>
        </w:rPr>
      </w:pPr>
      <w:r>
        <w:rPr>
          <w:b/>
          <w:lang w:val="sk-SK"/>
        </w:rPr>
        <w:t>o poskytovaní služieb uzatvorená podľa ust. § 269 ods. 2 Obchodného zákonníka v platnom znení</w:t>
      </w:r>
    </w:p>
    <w:p>
      <w:pPr>
        <w:pStyle w:val="Normal"/>
        <w:jc w:val="center"/>
        <w:rPr>
          <w:b/>
          <w:b/>
          <w:lang w:val="sk-SK"/>
        </w:rPr>
      </w:pPr>
      <w:r>
        <w:rPr>
          <w:b/>
          <w:lang w:val="sk-SK"/>
        </w:rPr>
      </w:r>
    </w:p>
    <w:p>
      <w:pPr>
        <w:pStyle w:val="Normal"/>
        <w:numPr>
          <w:ilvl w:val="0"/>
          <w:numId w:val="1"/>
        </w:numPr>
        <w:jc w:val="center"/>
        <w:rPr>
          <w:lang w:val="sk-SK"/>
        </w:rPr>
      </w:pPr>
      <w:r>
        <w:rPr>
          <w:b/>
          <w:lang w:val="sk-SK"/>
        </w:rPr>
        <w:t>Zmluvné strany</w:t>
      </w:r>
    </w:p>
    <w:tbl>
      <w:tblPr>
        <w:tblW w:w="9575" w:type="dxa"/>
        <w:jc w:val="right"/>
        <w:tblInd w:w="0" w:type="dxa"/>
        <w:tblCellMar>
          <w:top w:w="55" w:type="dxa"/>
          <w:left w:w="53" w:type="dxa"/>
          <w:bottom w:w="55" w:type="dxa"/>
          <w:right w:w="55" w:type="dxa"/>
        </w:tblCellMar>
        <w:tblLook w:firstRow="0" w:noVBand="0" w:lastRow="0" w:firstColumn="0" w:lastColumn="0" w:noHBand="0" w:val="0000"/>
      </w:tblPr>
      <w:tblGrid>
        <w:gridCol w:w="2407"/>
        <w:gridCol w:w="7167"/>
      </w:tblGrid>
      <w:tr>
        <w:trPr/>
        <w:tc>
          <w:tcPr>
            <w:tcW w:w="9574"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jc w:val="center"/>
              <w:rPr>
                <w:lang w:val="sk-SK"/>
              </w:rPr>
            </w:pPr>
            <w:r>
              <w:rPr>
                <w:b/>
                <w:lang w:val="sk-SK"/>
              </w:rPr>
              <w:t>Poskytovateľ</w:t>
            </w:r>
          </w:p>
        </w:tc>
      </w:tr>
      <w:tr>
        <w:trPr>
          <w:trHeight w:val="310" w:hRule="atLeast"/>
        </w:trPr>
        <w:tc>
          <w:tcPr>
            <w:tcW w:w="240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lang w:val="sk-SK"/>
              </w:rPr>
              <w:t>Názov spoločnosti</w:t>
            </w:r>
          </w:p>
        </w:tc>
        <w:tc>
          <w:tcPr>
            <w:tcW w:w="7167" w:type="dxa"/>
            <w:tcBorders>
              <w:top w:val="single" w:sz="2" w:space="0" w:color="000000"/>
              <w:left w:val="single" w:sz="2" w:space="0" w:color="000000"/>
              <w:bottom w:val="single" w:sz="2" w:space="0" w:color="000000"/>
              <w:right w:val="single" w:sz="2" w:space="0" w:color="000000"/>
            </w:tcBorders>
            <w:shd w:color="auto" w:fill="auto" w:val="clear"/>
          </w:tcPr>
          <w:p>
            <w:pPr>
              <w:pStyle w:val="Normal"/>
              <w:rPr>
                <w:lang w:val="sk-SK"/>
              </w:rPr>
            </w:pPr>
            <w:r>
              <w:rPr>
                <w:b/>
                <w:bCs/>
                <w:color w:val="000000"/>
                <w:shd w:fill="FFFFFF" w:val="clear"/>
                <w:lang w:val="sk-SK"/>
              </w:rPr>
              <w:t>MG PZS, s. r. o.</w:t>
            </w:r>
          </w:p>
        </w:tc>
      </w:tr>
      <w:tr>
        <w:trPr/>
        <w:tc>
          <w:tcPr>
            <w:tcW w:w="240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lang w:val="sk-SK"/>
              </w:rPr>
              <w:t>Sídlo</w:t>
            </w:r>
          </w:p>
        </w:tc>
        <w:tc>
          <w:tcPr>
            <w:tcW w:w="7167"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pPr>
            <w:r>
              <w:rPr>
                <w:rStyle w:val="Ra"/>
                <w:bCs/>
                <w:color w:val="000000"/>
                <w:sz w:val="21"/>
                <w:szCs w:val="21"/>
                <w:shd w:fill="FFFFFF" w:val="clear"/>
                <w:lang w:val="sk-SK"/>
              </w:rPr>
              <w:t>Legionárska 14,  911 01 Trenčín</w:t>
            </w:r>
          </w:p>
        </w:tc>
      </w:tr>
      <w:tr>
        <w:trPr/>
        <w:tc>
          <w:tcPr>
            <w:tcW w:w="240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lang w:val="sk-SK"/>
              </w:rPr>
              <w:t>Zastúpenie</w:t>
            </w:r>
          </w:p>
        </w:tc>
        <w:tc>
          <w:tcPr>
            <w:tcW w:w="716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lang w:val="sk-SK"/>
              </w:rPr>
              <w:t>Juraj Šúlek</w:t>
            </w:r>
          </w:p>
        </w:tc>
      </w:tr>
      <w:tr>
        <w:trPr/>
        <w:tc>
          <w:tcPr>
            <w:tcW w:w="240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lang w:val="sk-SK"/>
              </w:rPr>
              <w:t>IČO</w:t>
            </w:r>
          </w:p>
        </w:tc>
        <w:tc>
          <w:tcPr>
            <w:tcW w:w="716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lang w:val="sk-SK"/>
              </w:rPr>
              <w:t>36297143</w:t>
            </w:r>
          </w:p>
        </w:tc>
      </w:tr>
      <w:tr>
        <w:trPr/>
        <w:tc>
          <w:tcPr>
            <w:tcW w:w="240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lang w:val="sk-SK"/>
              </w:rPr>
              <w:t>DIČ</w:t>
            </w:r>
          </w:p>
        </w:tc>
        <w:tc>
          <w:tcPr>
            <w:tcW w:w="716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lang w:val="sk-SK"/>
              </w:rPr>
              <w:t>2020174684</w:t>
            </w:r>
          </w:p>
        </w:tc>
      </w:tr>
      <w:tr>
        <w:trPr/>
        <w:tc>
          <w:tcPr>
            <w:tcW w:w="240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lang w:val="sk-SK"/>
              </w:rPr>
              <w:t>IČ DPH</w:t>
            </w:r>
          </w:p>
        </w:tc>
        <w:tc>
          <w:tcPr>
            <w:tcW w:w="716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lang w:val="sk-SK"/>
              </w:rPr>
              <w:t>SK2020174684</w:t>
            </w:r>
          </w:p>
        </w:tc>
      </w:tr>
      <w:tr>
        <w:trPr/>
        <w:tc>
          <w:tcPr>
            <w:tcW w:w="240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lang w:val="sk-SK"/>
              </w:rPr>
              <w:t>OR SR</w:t>
            </w:r>
          </w:p>
        </w:tc>
        <w:tc>
          <w:tcPr>
            <w:tcW w:w="716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pPr>
            <w:r>
              <w:rPr>
                <w:lang w:val="sk-SK"/>
              </w:rPr>
              <w:t>OR SR Trenčín, oddiel Sro, vložka číslo 40909/R</w:t>
            </w:r>
          </w:p>
        </w:tc>
      </w:tr>
      <w:tr>
        <w:trPr/>
        <w:tc>
          <w:tcPr>
            <w:tcW w:w="240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lang w:val="sk-SK"/>
              </w:rPr>
              <w:t>Bankové spojenie</w:t>
            </w:r>
          </w:p>
        </w:tc>
        <w:tc>
          <w:tcPr>
            <w:tcW w:w="7167" w:type="dxa"/>
            <w:tcBorders>
              <w:top w:val="single" w:sz="2" w:space="0" w:color="000000"/>
              <w:left w:val="single" w:sz="2" w:space="0" w:color="000000"/>
              <w:bottom w:val="single" w:sz="2" w:space="0" w:color="000000"/>
              <w:right w:val="single" w:sz="2" w:space="0" w:color="000000"/>
            </w:tcBorders>
            <w:shd w:color="auto" w:fill="auto" w:val="clear"/>
          </w:tcPr>
          <w:p>
            <w:pPr>
              <w:pStyle w:val="Normal"/>
              <w:rPr>
                <w:lang w:val="sk-SK"/>
              </w:rPr>
            </w:pPr>
            <w:r>
              <w:rPr>
                <w:lang w:val="sk-SK"/>
              </w:rPr>
              <w:t>SK15 1100 0000 0026 2427 0438</w:t>
            </w:r>
          </w:p>
        </w:tc>
      </w:tr>
      <w:tr>
        <w:trPr/>
        <w:tc>
          <w:tcPr>
            <w:tcW w:w="240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lang w:val="sk-SK"/>
              </w:rPr>
              <w:t>Telefón</w:t>
            </w:r>
          </w:p>
        </w:tc>
        <w:tc>
          <w:tcPr>
            <w:tcW w:w="716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lang w:val="sk-SK"/>
              </w:rPr>
              <w:t>0322867610</w:t>
            </w:r>
          </w:p>
        </w:tc>
      </w:tr>
      <w:tr>
        <w:trPr/>
        <w:tc>
          <w:tcPr>
            <w:tcW w:w="240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lang w:val="sk-SK"/>
              </w:rPr>
              <w:t>E- mail</w:t>
            </w:r>
          </w:p>
        </w:tc>
        <w:tc>
          <w:tcPr>
            <w:tcW w:w="716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lang w:val="sk-SK"/>
              </w:rPr>
              <w:t>info@mg-service.sk</w:t>
            </w:r>
          </w:p>
        </w:tc>
      </w:tr>
    </w:tbl>
    <w:p>
      <w:pPr>
        <w:pStyle w:val="Normal"/>
        <w:rPr>
          <w:lang w:val="sk-SK"/>
        </w:rPr>
      </w:pPr>
      <w:r>
        <w:rPr>
          <w:lang w:val="sk-SK"/>
        </w:rPr>
        <w:t xml:space="preserve">      </w:t>
      </w:r>
    </w:p>
    <w:tbl>
      <w:tblPr>
        <w:tblW w:w="9575" w:type="dxa"/>
        <w:jc w:val="right"/>
        <w:tblInd w:w="0" w:type="dxa"/>
        <w:tblCellMar>
          <w:top w:w="55" w:type="dxa"/>
          <w:left w:w="53" w:type="dxa"/>
          <w:bottom w:w="55" w:type="dxa"/>
          <w:right w:w="55" w:type="dxa"/>
        </w:tblCellMar>
        <w:tblLook w:firstRow="0" w:noVBand="0" w:lastRow="0" w:firstColumn="0" w:lastColumn="0" w:noHBand="0" w:val="0000"/>
      </w:tblPr>
      <w:tblGrid>
        <w:gridCol w:w="2407"/>
        <w:gridCol w:w="7167"/>
      </w:tblGrid>
      <w:tr>
        <w:trPr/>
        <w:tc>
          <w:tcPr>
            <w:tcW w:w="9574"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tabs>
                <w:tab w:val="left" w:pos="709" w:leader="none"/>
              </w:tabs>
              <w:jc w:val="center"/>
              <w:rPr>
                <w:lang w:val="sk-SK"/>
              </w:rPr>
            </w:pPr>
            <w:r>
              <w:rPr>
                <w:b/>
                <w:lang w:val="sk-SK"/>
              </w:rPr>
              <w:t>Objednávateľ</w:t>
            </w:r>
          </w:p>
        </w:tc>
      </w:tr>
      <w:tr>
        <w:trPr/>
        <w:tc>
          <w:tcPr>
            <w:tcW w:w="240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rFonts w:eastAsia="SimSun"/>
                <w:kern w:val="2"/>
                <w:lang w:val="sk-SK" w:bidi="hi-IN"/>
              </w:rPr>
              <w:t>Názov spoločnosti</w:t>
            </w:r>
          </w:p>
        </w:tc>
        <w:tc>
          <w:tcPr>
            <w:tcW w:w="7167"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Alef"/>
                <w:b w:val="false"/>
                <w:b w:val="false"/>
                <w:bCs w:val="false"/>
                <w:color w:val="000000"/>
                <w:sz w:val="20"/>
                <w:szCs w:val="20"/>
                <w:lang w:val="en-US"/>
              </w:rPr>
            </w:pPr>
            <w:r>
              <w:rPr>
                <w:rFonts w:cs="Alef"/>
                <w:b w:val="false"/>
                <w:bCs w:val="false"/>
                <w:color w:val="000000"/>
                <w:sz w:val="20"/>
                <w:szCs w:val="20"/>
                <w:lang w:val="en-US"/>
              </w:rPr>
              <w:t>Spojená Škola Bratislavská 44, Malinovo</w:t>
            </w:r>
          </w:p>
        </w:tc>
      </w:tr>
      <w:tr>
        <w:trPr/>
        <w:tc>
          <w:tcPr>
            <w:tcW w:w="240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rFonts w:eastAsia="SimSun"/>
                <w:kern w:val="2"/>
                <w:lang w:val="sk-SK" w:bidi="hi-IN"/>
              </w:rPr>
              <w:t>Sídlo</w:t>
            </w:r>
          </w:p>
        </w:tc>
        <w:tc>
          <w:tcPr>
            <w:tcW w:w="7167"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jc w:val="both"/>
              <w:rPr>
                <w:rFonts w:ascii="Times New Roman" w:hAnsi="Times New Roman" w:cs="Times New Roman"/>
                <w:b w:val="false"/>
                <w:b w:val="false"/>
                <w:bCs w:val="false"/>
                <w:color w:val="000000"/>
                <w:sz w:val="20"/>
                <w:szCs w:val="20"/>
                <w:lang w:val="en-US"/>
              </w:rPr>
            </w:pPr>
            <w:r>
              <w:rPr>
                <w:rFonts w:cs="Times New Roman"/>
                <w:b w:val="false"/>
                <w:bCs w:val="false"/>
                <w:color w:val="000000"/>
                <w:sz w:val="20"/>
                <w:szCs w:val="20"/>
                <w:lang w:val="en-US"/>
              </w:rPr>
              <w:t xml:space="preserve">Bratislavská 44,   </w:t>
            </w:r>
            <w:r>
              <w:rPr>
                <w:rFonts w:cs="Times New Roman"/>
                <w:b w:val="false"/>
                <w:bCs w:val="false"/>
                <w:color w:val="000000"/>
                <w:sz w:val="20"/>
                <w:szCs w:val="20"/>
                <w:lang w:val="en-US"/>
              </w:rPr>
              <w:t xml:space="preserve">900 45 </w:t>
            </w:r>
            <w:r>
              <w:rPr>
                <w:rFonts w:cs="Times New Roman"/>
                <w:b w:val="false"/>
                <w:bCs w:val="false"/>
                <w:color w:val="000000"/>
                <w:sz w:val="20"/>
                <w:szCs w:val="20"/>
                <w:lang w:val="en-US"/>
              </w:rPr>
              <w:t>Malinovo</w:t>
            </w:r>
          </w:p>
        </w:tc>
      </w:tr>
      <w:tr>
        <w:trPr/>
        <w:tc>
          <w:tcPr>
            <w:tcW w:w="240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rFonts w:eastAsia="SimSun"/>
                <w:kern w:val="2"/>
                <w:lang w:val="sk-SK" w:bidi="hi-IN"/>
              </w:rPr>
              <w:t>Zastúpenie</w:t>
            </w:r>
          </w:p>
        </w:tc>
        <w:tc>
          <w:tcPr>
            <w:tcW w:w="716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snapToGrid w:val="false"/>
              <w:rPr>
                <w:rFonts w:ascii="Times New Roman" w:hAnsi="Times New Roman"/>
                <w:color w:val="000000"/>
                <w:sz w:val="20"/>
                <w:szCs w:val="20"/>
              </w:rPr>
            </w:pPr>
            <w:r>
              <w:rPr>
                <w:color w:val="000000"/>
                <w:sz w:val="20"/>
                <w:szCs w:val="20"/>
              </w:rPr>
              <w:t>PeaDr. Dajana Csoková</w:t>
            </w:r>
          </w:p>
        </w:tc>
      </w:tr>
      <w:tr>
        <w:trPr/>
        <w:tc>
          <w:tcPr>
            <w:tcW w:w="240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rFonts w:eastAsia="SimSun"/>
                <w:kern w:val="2"/>
                <w:lang w:val="sk-SK" w:bidi="hi-IN"/>
              </w:rPr>
              <w:t>IČO</w:t>
            </w:r>
          </w:p>
        </w:tc>
        <w:tc>
          <w:tcPr>
            <w:tcW w:w="716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snapToGrid w:val="false"/>
              <w:rPr>
                <w:rFonts w:ascii="Times New Roman" w:hAnsi="Times New Roman"/>
                <w:color w:val="000000"/>
                <w:sz w:val="20"/>
                <w:szCs w:val="20"/>
              </w:rPr>
            </w:pPr>
            <w:r>
              <w:rPr>
                <w:color w:val="000000"/>
                <w:sz w:val="20"/>
                <w:szCs w:val="20"/>
              </w:rPr>
              <w:t>52585212</w:t>
            </w:r>
          </w:p>
        </w:tc>
      </w:tr>
      <w:tr>
        <w:trPr/>
        <w:tc>
          <w:tcPr>
            <w:tcW w:w="240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rFonts w:eastAsia="SimSun"/>
                <w:kern w:val="2"/>
                <w:lang w:val="sk-SK" w:bidi="hi-IN"/>
              </w:rPr>
              <w:t>DIČ</w:t>
            </w:r>
          </w:p>
        </w:tc>
        <w:tc>
          <w:tcPr>
            <w:tcW w:w="716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snapToGrid w:val="false"/>
              <w:rPr>
                <w:rFonts w:ascii="Times New Roman" w:hAnsi="Times New Roman"/>
                <w:color w:val="000000"/>
                <w:sz w:val="20"/>
                <w:szCs w:val="20"/>
                <w:lang w:val="en-US"/>
              </w:rPr>
            </w:pPr>
            <w:r>
              <w:rPr>
                <w:color w:val="000000"/>
                <w:sz w:val="20"/>
                <w:szCs w:val="20"/>
                <w:lang w:val="en-US"/>
              </w:rPr>
              <w:t>2121086550</w:t>
            </w:r>
          </w:p>
        </w:tc>
      </w:tr>
      <w:tr>
        <w:trPr/>
        <w:tc>
          <w:tcPr>
            <w:tcW w:w="240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rFonts w:eastAsia="SimSun"/>
                <w:kern w:val="2"/>
                <w:lang w:val="sk-SK" w:bidi="hi-IN"/>
              </w:rPr>
              <w:t>IČ DPH</w:t>
            </w:r>
          </w:p>
        </w:tc>
        <w:tc>
          <w:tcPr>
            <w:tcW w:w="716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snapToGrid w:val="false"/>
              <w:rPr>
                <w:lang w:val="en-US"/>
              </w:rPr>
            </w:pPr>
            <w:r>
              <w:rPr>
                <w:lang w:val="en-US"/>
              </w:rPr>
            </w:r>
          </w:p>
        </w:tc>
      </w:tr>
      <w:tr>
        <w:trPr/>
        <w:tc>
          <w:tcPr>
            <w:tcW w:w="240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rFonts w:eastAsia="SimSun"/>
                <w:kern w:val="2"/>
                <w:lang w:val="sk-SK" w:bidi="hi-IN"/>
              </w:rPr>
              <w:t>OR SR</w:t>
            </w:r>
          </w:p>
        </w:tc>
        <w:tc>
          <w:tcPr>
            <w:tcW w:w="716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snapToGrid w:val="false"/>
              <w:rPr>
                <w:lang w:val="en-US"/>
              </w:rPr>
            </w:pPr>
            <w:r>
              <w:rPr>
                <w:lang w:val="en-US"/>
              </w:rPr>
            </w:r>
          </w:p>
        </w:tc>
      </w:tr>
      <w:tr>
        <w:trPr/>
        <w:tc>
          <w:tcPr>
            <w:tcW w:w="240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rFonts w:eastAsia="SimSun"/>
                <w:kern w:val="2"/>
                <w:lang w:val="sk-SK" w:bidi="hi-IN"/>
              </w:rPr>
              <w:t>Bankové spojenie</w:t>
            </w:r>
          </w:p>
        </w:tc>
        <w:tc>
          <w:tcPr>
            <w:tcW w:w="7167"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olor w:val="000000"/>
                <w:sz w:val="20"/>
                <w:szCs w:val="20"/>
                <w:lang w:val="en-US"/>
              </w:rPr>
            </w:pPr>
            <w:r>
              <w:rPr>
                <w:color w:val="000000"/>
                <w:sz w:val="20"/>
                <w:szCs w:val="20"/>
                <w:lang w:val="en-US"/>
              </w:rPr>
            </w:r>
          </w:p>
        </w:tc>
      </w:tr>
      <w:tr>
        <w:trPr/>
        <w:tc>
          <w:tcPr>
            <w:tcW w:w="240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rFonts w:eastAsia="SimSun"/>
                <w:kern w:val="2"/>
                <w:lang w:val="sk-SK" w:bidi="hi-IN"/>
              </w:rPr>
              <w:t>Telefón</w:t>
            </w:r>
          </w:p>
        </w:tc>
        <w:tc>
          <w:tcPr>
            <w:tcW w:w="716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snapToGrid w:val="false"/>
              <w:rPr>
                <w:rFonts w:ascii="Times New Roman" w:hAnsi="Times New Roman"/>
                <w:color w:val="000000"/>
                <w:sz w:val="20"/>
                <w:szCs w:val="20"/>
                <w:lang w:val="en-US"/>
              </w:rPr>
            </w:pPr>
            <w:r>
              <w:rPr>
                <w:color w:val="000000"/>
                <w:sz w:val="20"/>
                <w:szCs w:val="20"/>
                <w:lang w:val="en-US"/>
              </w:rPr>
              <w:t>0905561901</w:t>
            </w:r>
          </w:p>
        </w:tc>
      </w:tr>
      <w:tr>
        <w:trPr/>
        <w:tc>
          <w:tcPr>
            <w:tcW w:w="240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rFonts w:eastAsia="SimSun"/>
                <w:kern w:val="2"/>
                <w:lang w:val="sk-SK" w:bidi="hi-IN"/>
              </w:rPr>
              <w:t>E- mail</w:t>
            </w:r>
          </w:p>
        </w:tc>
        <w:tc>
          <w:tcPr>
            <w:tcW w:w="7167"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eastAsia="SimSun;宋体" w:cs="Mangal"/>
                <w:caps w:val="false"/>
                <w:smallCaps w:val="false"/>
                <w:color w:val="000000"/>
                <w:spacing w:val="0"/>
                <w:kern w:val="2"/>
                <w:sz w:val="20"/>
                <w:szCs w:val="20"/>
                <w:lang w:bidi="hi-IN"/>
              </w:rPr>
            </w:pPr>
            <w:r>
              <w:rPr>
                <w:rFonts w:eastAsia="SimSun;宋体" w:cs="Mangal"/>
                <w:caps w:val="false"/>
                <w:smallCaps w:val="false"/>
                <w:color w:val="000000"/>
                <w:spacing w:val="0"/>
                <w:kern w:val="2"/>
                <w:sz w:val="20"/>
                <w:szCs w:val="20"/>
                <w:lang w:bidi="hi-IN"/>
              </w:rPr>
              <w:t>dajana.csokova@skolamalinovo.sk</w:t>
            </w:r>
          </w:p>
        </w:tc>
      </w:tr>
    </w:tbl>
    <w:p>
      <w:pPr>
        <w:pStyle w:val="Normal"/>
        <w:tabs>
          <w:tab w:val="clear" w:pos="709"/>
          <w:tab w:val="left" w:pos="708" w:leader="none"/>
        </w:tabs>
        <w:jc w:val="center"/>
        <w:rPr/>
      </w:pPr>
      <w:r>
        <w:rPr>
          <w:lang w:val="sk-SK"/>
        </w:rPr>
        <w:t>(ďalej aj ako “zmluvné strany”)</w:t>
      </w:r>
    </w:p>
    <w:tbl>
      <w:tblPr>
        <w:tblW w:w="9575" w:type="dxa"/>
        <w:jc w:val="right"/>
        <w:tblInd w:w="0" w:type="dxa"/>
        <w:tblCellMar>
          <w:top w:w="55" w:type="dxa"/>
          <w:left w:w="53" w:type="dxa"/>
          <w:bottom w:w="55" w:type="dxa"/>
          <w:right w:w="55" w:type="dxa"/>
        </w:tblCellMar>
        <w:tblLook w:firstRow="0" w:noVBand="0" w:lastRow="0" w:firstColumn="0" w:lastColumn="0" w:noHBand="0" w:val="0000"/>
      </w:tblPr>
      <w:tblGrid>
        <w:gridCol w:w="2407"/>
        <w:gridCol w:w="7167"/>
      </w:tblGrid>
      <w:tr>
        <w:trPr>
          <w:trHeight w:val="610" w:hRule="atLeast"/>
        </w:trPr>
        <w:tc>
          <w:tcPr>
            <w:tcW w:w="2407" w:type="dxa"/>
            <w:tcBorders>
              <w:top w:val="single" w:sz="2" w:space="0" w:color="000000"/>
              <w:left w:val="single" w:sz="2" w:space="0" w:color="000000"/>
            </w:tcBorders>
            <w:shd w:color="auto" w:fill="auto" w:val="clear"/>
          </w:tcPr>
          <w:p>
            <w:pPr>
              <w:pStyle w:val="Obsahtabuky"/>
              <w:rPr>
                <w:lang w:val="sk-SK"/>
              </w:rPr>
            </w:pPr>
            <w:r>
              <w:rPr>
                <w:rFonts w:eastAsia="SimSun"/>
                <w:kern w:val="2"/>
                <w:lang w:val="sk-SK" w:bidi="hi-IN"/>
              </w:rPr>
              <w:t>Fakturácia</w:t>
            </w:r>
          </w:p>
        </w:tc>
        <w:tc>
          <w:tcPr>
            <w:tcW w:w="7167" w:type="dxa"/>
            <w:tcBorders>
              <w:top w:val="single" w:sz="2" w:space="0" w:color="000000"/>
              <w:left w:val="single" w:sz="2" w:space="0" w:color="000000"/>
              <w:bottom w:val="single" w:sz="4" w:space="0" w:color="000000"/>
              <w:right w:val="single" w:sz="2" w:space="0" w:color="000000"/>
            </w:tcBorders>
            <w:shd w:color="auto" w:fill="auto" w:val="clear"/>
          </w:tcPr>
          <w:p>
            <w:pPr>
              <w:pStyle w:val="Obsahtabuky"/>
              <w:rPr>
                <w:lang w:val="sk-SK"/>
              </w:rPr>
            </w:pPr>
            <w:r>
              <w:rPr>
                <w:rFonts w:eastAsia="Liberation Serif"/>
                <w:lang w:val="sk-SK"/>
              </w:rPr>
              <w:t>□</w:t>
            </w:r>
            <w:r>
              <w:rPr>
                <w:lang w:val="sk-SK"/>
              </w:rPr>
              <w:t xml:space="preserve"> </w:t>
            </w:r>
            <w:r>
              <w:rPr>
                <w:rFonts w:eastAsia="SimSun"/>
                <w:lang w:val="sk-SK"/>
              </w:rPr>
              <w:t>p</w:t>
            </w:r>
            <w:r>
              <w:rPr>
                <w:lang w:val="sk-SK"/>
              </w:rPr>
              <w:t>apierová</w:t>
            </w:r>
          </w:p>
          <w:p>
            <w:pPr>
              <w:pStyle w:val="Obsahtabuky"/>
              <w:rPr/>
            </w:pPr>
            <w:r>
              <w:rPr>
                <w:rFonts w:eastAsia="Liberation Serif"/>
                <w:lang w:val="sk-SK"/>
              </w:rPr>
              <w:t>x e</w:t>
            </w:r>
            <w:r>
              <w:rPr>
                <w:lang w:val="sk-SK"/>
              </w:rPr>
              <w:t>lektronická , e - mail pre fakturáciu :  dajana.csokova@skolamalinovo.sk</w:t>
            </w:r>
          </w:p>
        </w:tc>
      </w:tr>
      <w:tr>
        <w:trPr/>
        <w:tc>
          <w:tcPr>
            <w:tcW w:w="2407" w:type="dxa"/>
            <w:tcBorders>
              <w:top w:val="single" w:sz="2" w:space="0" w:color="000000"/>
              <w:left w:val="single" w:sz="2" w:space="0" w:color="000000"/>
              <w:bottom w:val="single" w:sz="2" w:space="0" w:color="000000"/>
            </w:tcBorders>
            <w:shd w:color="auto" w:fill="auto" w:val="clear"/>
          </w:tcPr>
          <w:p>
            <w:pPr>
              <w:pStyle w:val="Obsahtabuky"/>
              <w:rPr>
                <w:rFonts w:eastAsia="SimSun"/>
                <w:kern w:val="2"/>
                <w:lang w:val="sk-SK" w:bidi="hi-IN"/>
              </w:rPr>
            </w:pPr>
            <w:r>
              <w:rPr>
                <w:rFonts w:eastAsia="SimSun"/>
                <w:kern w:val="2"/>
                <w:lang w:val="sk-SK" w:bidi="hi-IN"/>
              </w:rPr>
              <w:t>Doručovanie</w:t>
            </w:r>
          </w:p>
        </w:tc>
        <w:tc>
          <w:tcPr>
            <w:tcW w:w="7167" w:type="dxa"/>
            <w:tcBorders>
              <w:top w:val="single" w:sz="2" w:space="0" w:color="000000"/>
              <w:left w:val="single" w:sz="2" w:space="0" w:color="000000"/>
              <w:bottom w:val="single" w:sz="2" w:space="0" w:color="000000"/>
              <w:right w:val="single" w:sz="2" w:space="0" w:color="000000"/>
            </w:tcBorders>
            <w:shd w:color="auto" w:fill="auto" w:val="clear"/>
          </w:tcPr>
          <w:p>
            <w:pPr>
              <w:pStyle w:val="Normal"/>
              <w:rPr/>
            </w:pPr>
            <w:r>
              <w:rPr>
                <w:rFonts w:eastAsia="Liberation Serif"/>
                <w:lang w:val="sk-SK"/>
              </w:rPr>
              <w:t xml:space="preserve">x </w:t>
            </w:r>
            <w:r>
              <w:rPr>
                <w:lang w:val="sk-SK"/>
              </w:rPr>
              <w:t xml:space="preserve">Súhlasím, aby mi boli všetky dokumenty , okrem písomného posudku o riziku s kategorizáciou prác z hľadiska zdravotného rizika, v rámci predmetu tejto zmluvy  doručované elektronicky, na e-mailovú adresu:  </w:t>
            </w:r>
            <w:r>
              <w:rPr>
                <w:rFonts w:eastAsia="SimSun;宋体" w:cs="Mangal"/>
                <w:caps w:val="false"/>
                <w:smallCaps w:val="false"/>
                <w:color w:val="000000"/>
                <w:spacing w:val="0"/>
                <w:kern w:val="2"/>
                <w:sz w:val="20"/>
                <w:szCs w:val="20"/>
                <w:lang w:val="sk-SK" w:bidi="hi-IN"/>
              </w:rPr>
              <w:t xml:space="preserve"> </w:t>
            </w:r>
          </w:p>
          <w:p>
            <w:pPr>
              <w:pStyle w:val="Normal"/>
              <w:rPr>
                <w:lang w:val="sk-SK"/>
              </w:rPr>
            </w:pPr>
            <w:r>
              <w:rPr>
                <w:rFonts w:eastAsia="Liberation Serif"/>
                <w:lang w:val="sk-SK"/>
              </w:rPr>
              <w:t xml:space="preserve">□ </w:t>
            </w:r>
            <w:r>
              <w:rPr>
                <w:lang w:val="sk-SK"/>
              </w:rPr>
              <w:t>Nesúhlasím s elektronickým doručovaním a požadujem doručovanie poštou</w:t>
            </w:r>
          </w:p>
        </w:tc>
      </w:tr>
      <w:tr>
        <w:trPr/>
        <w:tc>
          <w:tcPr>
            <w:tcW w:w="2407" w:type="dxa"/>
            <w:tcBorders>
              <w:top w:val="single" w:sz="2" w:space="0" w:color="000000"/>
              <w:left w:val="single" w:sz="2" w:space="0" w:color="000000"/>
              <w:bottom w:val="single" w:sz="2" w:space="0" w:color="000000"/>
            </w:tcBorders>
            <w:shd w:color="auto" w:fill="auto" w:val="clear"/>
          </w:tcPr>
          <w:p>
            <w:pPr>
              <w:pStyle w:val="Obsahtabuky"/>
              <w:rPr>
                <w:rFonts w:eastAsia="SimSun"/>
                <w:kern w:val="2"/>
                <w:sz w:val="16"/>
                <w:szCs w:val="16"/>
                <w:lang w:val="sk-SK" w:bidi="hi-IN"/>
              </w:rPr>
            </w:pPr>
            <w:r>
              <w:rPr>
                <w:rFonts w:eastAsia="SimSun"/>
                <w:kern w:val="2"/>
                <w:lang w:val="sk-SK" w:bidi="hi-IN"/>
              </w:rPr>
              <w:t>Periodicita</w:t>
            </w:r>
            <w:r>
              <w:rPr>
                <w:rFonts w:eastAsia="SimSun"/>
                <w:kern w:val="2"/>
                <w:sz w:val="16"/>
                <w:szCs w:val="16"/>
                <w:lang w:val="sk-SK" w:bidi="hi-IN"/>
              </w:rPr>
              <w:t xml:space="preserve"> fakturácie a návštev poskytovateľa</w:t>
            </w:r>
          </w:p>
          <w:p>
            <w:pPr>
              <w:pStyle w:val="Obsahtabuky"/>
              <w:rPr>
                <w:rFonts w:eastAsia="SimSun"/>
                <w:kern w:val="2"/>
                <w:sz w:val="16"/>
                <w:szCs w:val="16"/>
                <w:highlight w:val="yellow"/>
                <w:lang w:val="sk-SK" w:bidi="hi-IN"/>
              </w:rPr>
            </w:pPr>
            <w:r>
              <w:rPr>
                <w:rFonts w:eastAsia="SimSun"/>
                <w:kern w:val="2"/>
                <w:sz w:val="16"/>
                <w:szCs w:val="16"/>
                <w:lang w:val="sk-SK" w:bidi="hi-IN"/>
              </w:rPr>
              <w:t>*uvedené v mesiacoch</w:t>
            </w:r>
          </w:p>
        </w:tc>
        <w:tc>
          <w:tcPr>
            <w:tcW w:w="7167" w:type="dxa"/>
            <w:tcBorders>
              <w:top w:val="single" w:sz="2" w:space="0" w:color="000000"/>
              <w:left w:val="single" w:sz="2" w:space="0" w:color="000000"/>
              <w:bottom w:val="single" w:sz="2" w:space="0" w:color="000000"/>
              <w:right w:val="single" w:sz="2" w:space="0" w:color="000000"/>
            </w:tcBorders>
            <w:shd w:color="auto" w:fill="auto" w:val="clear"/>
          </w:tcPr>
          <w:p>
            <w:pPr>
              <w:pStyle w:val="Normal"/>
              <w:jc w:val="both"/>
              <w:rPr>
                <w:rFonts w:eastAsia="Liberation Serif"/>
                <w:sz w:val="24"/>
                <w:szCs w:val="24"/>
                <w:lang w:val="sk-SK"/>
              </w:rPr>
            </w:pPr>
            <w:r>
              <w:rPr>
                <w:rFonts w:eastAsia="Liberation Serif"/>
                <w:sz w:val="18"/>
                <w:szCs w:val="18"/>
                <w:lang w:val="sk-SK"/>
              </w:rPr>
              <w:t xml:space="preserve">Periodicita fakturácie a opakovaných návštev poskytovateľa dohodnutá na :  </w:t>
            </w:r>
            <w:r>
              <w:rPr>
                <w:rFonts w:eastAsia="Liberation Serif"/>
                <w:b/>
                <w:bCs/>
                <w:sz w:val="24"/>
                <w:szCs w:val="24"/>
                <w:lang w:val="sk-SK"/>
              </w:rPr>
              <w:t>12 mesiacov</w:t>
            </w:r>
          </w:p>
          <w:p>
            <w:pPr>
              <w:pStyle w:val="Normal"/>
              <w:jc w:val="right"/>
              <w:rPr>
                <w:rFonts w:eastAsia="Liberation Serif"/>
                <w:sz w:val="18"/>
                <w:szCs w:val="18"/>
                <w:highlight w:val="yellow"/>
                <w:lang w:val="sk-SK"/>
              </w:rPr>
            </w:pPr>
            <w:r>
              <w:rPr>
                <w:rFonts w:eastAsia="Liberation Serif"/>
                <w:sz w:val="16"/>
                <w:szCs w:val="16"/>
                <w:lang w:val="sk-SK"/>
              </w:rPr>
              <w:t>(ďalej aj ako „zmluvné obdobie“)</w:t>
            </w:r>
          </w:p>
        </w:tc>
      </w:tr>
      <w:tr>
        <w:trPr/>
        <w:tc>
          <w:tcPr>
            <w:tcW w:w="2407" w:type="dxa"/>
            <w:tcBorders>
              <w:top w:val="single" w:sz="2" w:space="0" w:color="000000"/>
              <w:left w:val="single" w:sz="2" w:space="0" w:color="000000"/>
              <w:bottom w:val="single" w:sz="2" w:space="0" w:color="000000"/>
            </w:tcBorders>
            <w:shd w:color="auto" w:fill="auto" w:val="clear"/>
          </w:tcPr>
          <w:p>
            <w:pPr>
              <w:pStyle w:val="Obsahtabuky"/>
              <w:rPr>
                <w:rFonts w:eastAsia="SimSun"/>
                <w:kern w:val="2"/>
                <w:lang w:val="sk-SK" w:bidi="hi-IN"/>
              </w:rPr>
            </w:pPr>
            <w:r>
              <w:rPr>
                <w:rFonts w:eastAsia="SimSun"/>
                <w:kern w:val="2"/>
                <w:lang w:val="sk-SK" w:bidi="hi-IN"/>
              </w:rPr>
              <w:t>Doba platnosti zmluvy</w:t>
            </w:r>
          </w:p>
        </w:tc>
        <w:tc>
          <w:tcPr>
            <w:tcW w:w="716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ind w:left="360" w:hanging="0"/>
              <w:jc w:val="center"/>
              <w:rPr/>
            </w:pPr>
            <w:r>
              <w:rPr>
                <w:rFonts w:eastAsia="Liberation Serif"/>
                <w:b/>
                <w:bCs/>
                <w:sz w:val="24"/>
                <w:szCs w:val="24"/>
                <w:lang w:val="sk-SK"/>
              </w:rPr>
              <w:t>- Doba určitá -</w:t>
            </w:r>
          </w:p>
        </w:tc>
      </w:tr>
    </w:tbl>
    <w:p>
      <w:pPr>
        <w:pStyle w:val="Normal"/>
        <w:jc w:val="both"/>
        <w:rPr>
          <w:lang w:val="sk-SK"/>
        </w:rPr>
      </w:pPr>
      <w:r>
        <w:rPr>
          <w:lang w:val="sk-SK"/>
        </w:rPr>
      </w:r>
    </w:p>
    <w:tbl>
      <w:tblPr>
        <w:tblStyle w:val="Mriekatabuky"/>
        <w:tblW w:w="9592" w:type="dxa"/>
        <w:jc w:val="left"/>
        <w:tblInd w:w="0" w:type="dxa"/>
        <w:tblCellMar>
          <w:top w:w="0" w:type="dxa"/>
          <w:left w:w="108" w:type="dxa"/>
          <w:bottom w:w="0" w:type="dxa"/>
          <w:right w:w="108" w:type="dxa"/>
        </w:tblCellMar>
        <w:tblLook w:firstRow="1" w:noVBand="1" w:lastRow="0" w:firstColumn="1" w:lastColumn="0" w:noHBand="0" w:val="04a0"/>
      </w:tblPr>
      <w:tblGrid>
        <w:gridCol w:w="421"/>
        <w:gridCol w:w="5522"/>
        <w:gridCol w:w="3649"/>
      </w:tblGrid>
      <w:tr>
        <w:trPr/>
        <w:tc>
          <w:tcPr>
            <w:tcW w:w="421" w:type="dxa"/>
            <w:tcBorders/>
            <w:shd w:color="auto" w:fill="auto" w:val="clear"/>
          </w:tcPr>
          <w:p>
            <w:pPr>
              <w:pStyle w:val="Normal"/>
              <w:jc w:val="both"/>
              <w:rPr>
                <w:lang w:val="sk-SK"/>
              </w:rPr>
            </w:pPr>
            <w:r>
              <w:rPr>
                <w:lang w:val="sk-SK"/>
              </w:rPr>
            </w:r>
          </w:p>
        </w:tc>
        <w:tc>
          <w:tcPr>
            <w:tcW w:w="5522" w:type="dxa"/>
            <w:tcBorders/>
            <w:shd w:color="auto" w:fill="auto" w:val="clear"/>
          </w:tcPr>
          <w:p>
            <w:pPr>
              <w:pStyle w:val="Normal"/>
              <w:jc w:val="both"/>
              <w:rPr>
                <w:lang w:val="sk-SK"/>
              </w:rPr>
            </w:pPr>
            <w:r>
              <w:rPr>
                <w:lang w:val="sk-SK"/>
              </w:rPr>
              <w:t>Názov a adresa prevádzky</w:t>
            </w:r>
          </w:p>
        </w:tc>
        <w:tc>
          <w:tcPr>
            <w:tcW w:w="3649" w:type="dxa"/>
            <w:tcBorders/>
            <w:shd w:color="auto" w:fill="auto" w:val="clear"/>
          </w:tcPr>
          <w:p>
            <w:pPr>
              <w:pStyle w:val="Normal"/>
              <w:jc w:val="both"/>
              <w:rPr>
                <w:lang w:val="sk-SK"/>
              </w:rPr>
            </w:pPr>
            <w:r>
              <w:rPr>
                <w:lang w:val="sk-SK"/>
              </w:rPr>
              <w:t>Počet zamestnancov v danej prevádzke</w:t>
            </w:r>
          </w:p>
        </w:tc>
      </w:tr>
      <w:tr>
        <w:trPr/>
        <w:tc>
          <w:tcPr>
            <w:tcW w:w="421" w:type="dxa"/>
            <w:tcBorders/>
            <w:shd w:color="auto" w:fill="auto" w:val="clear"/>
          </w:tcPr>
          <w:p>
            <w:pPr>
              <w:pStyle w:val="Normal"/>
              <w:jc w:val="both"/>
              <w:rPr>
                <w:lang w:val="sk-SK"/>
              </w:rPr>
            </w:pPr>
            <w:r>
              <w:rPr>
                <w:lang w:val="sk-SK"/>
              </w:rPr>
              <w:t>1.</w:t>
            </w:r>
          </w:p>
        </w:tc>
        <w:tc>
          <w:tcPr>
            <w:tcW w:w="5522" w:type="dxa"/>
            <w:tcBorders/>
            <w:shd w:color="auto" w:fill="auto" w:val="clear"/>
          </w:tcPr>
          <w:p>
            <w:pPr>
              <w:pStyle w:val="Normal"/>
              <w:snapToGrid w:val="false"/>
              <w:jc w:val="both"/>
              <w:rPr>
                <w:rFonts w:ascii="Times New Roman" w:hAnsi="Times New Roman" w:cs="Times New Roman"/>
                <w:b w:val="false"/>
                <w:b w:val="false"/>
                <w:bCs w:val="false"/>
                <w:i w:val="false"/>
                <w:i w:val="false"/>
                <w:caps w:val="false"/>
                <w:smallCaps w:val="false"/>
                <w:color w:val="000000"/>
                <w:spacing w:val="0"/>
                <w:sz w:val="20"/>
                <w:szCs w:val="20"/>
                <w:lang w:val="en-US"/>
              </w:rPr>
            </w:pPr>
            <w:r>
              <w:rPr>
                <w:rFonts w:cs="Times New Roman"/>
                <w:b w:val="false"/>
                <w:bCs w:val="false"/>
                <w:i w:val="false"/>
                <w:caps w:val="false"/>
                <w:smallCaps w:val="false"/>
                <w:color w:val="000000"/>
                <w:spacing w:val="0"/>
                <w:sz w:val="20"/>
                <w:szCs w:val="20"/>
                <w:lang w:val="en-US"/>
              </w:rPr>
              <w:t>SŠ Malinovo</w:t>
            </w:r>
          </w:p>
        </w:tc>
        <w:tc>
          <w:tcPr>
            <w:tcW w:w="3649" w:type="dxa"/>
            <w:tcBorders/>
            <w:shd w:color="auto" w:fill="auto" w:val="clear"/>
          </w:tcPr>
          <w:p>
            <w:pPr>
              <w:pStyle w:val="Normal"/>
              <w:jc w:val="both"/>
              <w:rPr>
                <w:lang w:val="sk-SK"/>
              </w:rPr>
            </w:pPr>
            <w:r>
              <w:rPr>
                <w:lang w:val="sk-SK"/>
              </w:rPr>
              <w:t>68</w:t>
            </w:r>
          </w:p>
        </w:tc>
      </w:tr>
      <w:tr>
        <w:trPr/>
        <w:tc>
          <w:tcPr>
            <w:tcW w:w="421" w:type="dxa"/>
            <w:tcBorders/>
            <w:shd w:color="auto" w:fill="auto" w:val="clear"/>
          </w:tcPr>
          <w:p>
            <w:pPr>
              <w:pStyle w:val="Normal"/>
              <w:jc w:val="both"/>
              <w:rPr>
                <w:lang w:val="sk-SK"/>
              </w:rPr>
            </w:pPr>
            <w:r>
              <w:rPr>
                <w:lang w:val="sk-SK"/>
              </w:rPr>
              <w:t>2.</w:t>
            </w:r>
          </w:p>
        </w:tc>
        <w:tc>
          <w:tcPr>
            <w:tcW w:w="5522" w:type="dxa"/>
            <w:tcBorders/>
            <w:shd w:color="auto" w:fill="auto" w:val="clear"/>
          </w:tcPr>
          <w:p>
            <w:pPr>
              <w:pStyle w:val="Normal"/>
              <w:jc w:val="both"/>
              <w:rPr>
                <w:lang w:val="sk-SK"/>
              </w:rPr>
            </w:pPr>
            <w:r>
              <w:rPr>
                <w:lang w:val="sk-SK"/>
              </w:rPr>
            </w:r>
          </w:p>
        </w:tc>
        <w:tc>
          <w:tcPr>
            <w:tcW w:w="3649" w:type="dxa"/>
            <w:tcBorders/>
            <w:shd w:color="auto" w:fill="auto" w:val="clear"/>
          </w:tcPr>
          <w:p>
            <w:pPr>
              <w:pStyle w:val="Normal"/>
              <w:jc w:val="both"/>
              <w:rPr>
                <w:lang w:val="sk-SK"/>
              </w:rPr>
            </w:pPr>
            <w:r>
              <w:rPr>
                <w:lang w:val="sk-SK"/>
              </w:rPr>
            </w:r>
          </w:p>
        </w:tc>
      </w:tr>
    </w:tbl>
    <w:p>
      <w:pPr>
        <w:pStyle w:val="Normal"/>
        <w:jc w:val="both"/>
        <w:rPr>
          <w:lang w:val="sk-SK"/>
        </w:rPr>
      </w:pPr>
      <w:r>
        <w:rPr>
          <w:lang w:val="sk-SK"/>
        </w:rPr>
      </w:r>
    </w:p>
    <w:p>
      <w:pPr>
        <w:pStyle w:val="Normal"/>
        <w:jc w:val="both"/>
        <w:rPr>
          <w:color w:val="FF0000"/>
          <w:lang w:val="sk-SK"/>
        </w:rPr>
      </w:pPr>
      <w:r>
        <w:rPr>
          <w:lang w:val="sk-SK"/>
        </w:rPr>
        <w:t>Zmluvné strany prehlasujú, že údaje v tomto článku zmluvy sú v súlade s príslušnými zápismi v obchodnom registri, a že osoby tu uvedené sú oprávnené podpisovať zmluvy</w:t>
      </w:r>
      <w:r>
        <w:rPr>
          <w:color w:val="FF0000"/>
          <w:lang w:val="sk-SK"/>
        </w:rPr>
        <w:t xml:space="preserve">.  </w:t>
      </w:r>
    </w:p>
    <w:p>
      <w:pPr>
        <w:pStyle w:val="Normal"/>
        <w:jc w:val="both"/>
        <w:rPr>
          <w:lang w:val="sk-SK"/>
        </w:rPr>
      </w:pPr>
      <w:r>
        <w:rPr>
          <w:lang w:val="sk-SK"/>
        </w:rPr>
        <w:t xml:space="preserve">Zmluvné strany sa dohodli, že si bez zbytočného odkladu navzájom oznámia všetky zmeny identifikačných údajov v zmysle §3a Obchodného zákonníka. V prípade nesplnenia tejto povinnosti povinná zmluvná strana nesie plnú zodpovednosť za takto vzniknuté škody. </w:t>
      </w:r>
    </w:p>
    <w:p>
      <w:pPr>
        <w:pStyle w:val="Normal"/>
        <w:jc w:val="both"/>
        <w:rPr>
          <w:lang w:val="sk-SK"/>
        </w:rPr>
      </w:pPr>
      <w:r>
        <w:rPr>
          <w:lang w:val="sk-SK"/>
        </w:rPr>
        <w:t xml:space="preserve">Zmluvná strana, voči ktorej bola predmetná povinnosť porušená je oprávnená uplatňovať si voči povinnej strane náležité sankcie. </w:t>
      </w:r>
    </w:p>
    <w:p>
      <w:pPr>
        <w:pStyle w:val="Normal"/>
        <w:jc w:val="both"/>
        <w:rPr/>
      </w:pPr>
      <w:r>
        <w:rPr>
          <w:lang w:val="sk-SK"/>
        </w:rPr>
        <w:t xml:space="preserve">Objednávateľ svojim podpisom prehlasuje, že sa oboznámil a súhlasí so Všeobecnými podmienkami (ďalej aj ako „ VOP “), ktoré tvoria neoddeliteľnú súčasť tejto zmluvy a upravujú práva a povinnosti jednotlivých strán pri poskytovaní služieb. Všeobecné podmienky sú zverejnené na oficiálnej internetovej stránke poskytovateľa: </w:t>
      </w:r>
      <w:hyperlink r:id="rId2">
        <w:r>
          <w:rPr>
            <w:rStyle w:val="Internetovodkaz"/>
            <w:lang w:val="sk-SK"/>
          </w:rPr>
          <w:t>www.mg-service.sk</w:t>
        </w:r>
      </w:hyperlink>
      <w:r>
        <w:rPr>
          <w:lang w:val="sk-SK"/>
        </w:rPr>
        <w:t xml:space="preserve">. Poskytovateľ je oprávnený jednostranne meniť obsah VOP, pričom je povinný objednávateľa o tejto zmene vopred elektronicky informovať. V prípade nesúhlasu objednávateľa so zmenou VOP zostanú v platnosti ustanovenia poslednej schválenej verzie. </w:t>
      </w:r>
    </w:p>
    <w:p>
      <w:pPr>
        <w:pStyle w:val="Normal"/>
        <w:jc w:val="both"/>
        <w:rPr>
          <w:lang w:val="sk-SK"/>
        </w:rPr>
      </w:pPr>
      <w:r>
        <w:rPr>
          <w:lang w:val="sk-SK"/>
        </w:rPr>
        <w:t>Zmluvné strany vyhlasujú, že si túto zmluvu pred jej podpisom prečítali, jej obsahu porozumeli, nemajú proti nej žiadne námietky, na znak čoho pripojili svoje podpisy.</w:t>
      </w:r>
    </w:p>
    <w:p>
      <w:pPr>
        <w:pStyle w:val="Normal"/>
        <w:jc w:val="both"/>
        <w:rPr>
          <w:lang w:val="sk-SK"/>
        </w:rPr>
      </w:pPr>
      <w:r>
        <w:rPr>
          <w:lang w:val="sk-SK"/>
        </w:rPr>
        <w:t xml:space="preserve">Za účelom vyvrátenia akýchkoľvek nejasností, zmluvné strany uvádzajú, že dohodnuté </w:t>
      </w:r>
      <w:r>
        <w:rPr>
          <w:b/>
          <w:bCs/>
          <w:lang w:val="sk-SK"/>
        </w:rPr>
        <w:t>zmluvné obdobie</w:t>
      </w:r>
      <w:r>
        <w:rPr>
          <w:lang w:val="sk-SK"/>
        </w:rPr>
        <w:t xml:space="preserve"> predstavuje interval/periódu, počas ktorej poskytuje poskytovateľ služby v hodnote uvedenej v článku 5 zmluvy a po ktorej uplynutí  poskytovateľ vystaví daňový doklad na ďalšie zmluvné obdobie vopred. Zmluvné obdobie ovplyvňuje i periódu opakovaných návštev poskytovateľa u objednávateľa v zmysle rozsahu služieb uvedených vo VOP. </w:t>
      </w:r>
    </w:p>
    <w:p>
      <w:pPr>
        <w:pStyle w:val="Normal"/>
        <w:jc w:val="both"/>
        <w:rPr>
          <w:lang w:val="sk-SK"/>
        </w:rPr>
      </w:pPr>
      <w:r>
        <w:rPr>
          <w:lang w:val="sk-SK"/>
        </w:rPr>
      </w:r>
    </w:p>
    <w:p>
      <w:pPr>
        <w:pStyle w:val="Normal"/>
        <w:numPr>
          <w:ilvl w:val="0"/>
          <w:numId w:val="1"/>
        </w:numPr>
        <w:tabs>
          <w:tab w:val="left" w:pos="709" w:leader="none"/>
        </w:tabs>
        <w:jc w:val="center"/>
        <w:rPr>
          <w:lang w:val="sk-SK"/>
        </w:rPr>
      </w:pPr>
      <w:r>
        <w:rPr>
          <w:b/>
          <w:lang w:val="sk-SK"/>
        </w:rPr>
        <w:t>Vznik zmluvy a jej trvanie</w:t>
      </w:r>
    </w:p>
    <w:p>
      <w:pPr>
        <w:pStyle w:val="Normal"/>
        <w:tabs>
          <w:tab w:val="left" w:pos="709" w:leader="none"/>
        </w:tabs>
        <w:ind w:left="360" w:hanging="0"/>
        <w:rPr>
          <w:lang w:val="sk-SK"/>
        </w:rPr>
      </w:pPr>
      <w:r>
        <w:rPr>
          <w:lang w:val="sk-SK"/>
        </w:rPr>
      </w:r>
    </w:p>
    <w:p>
      <w:pPr>
        <w:pStyle w:val="Normal"/>
        <w:tabs>
          <w:tab w:val="left" w:pos="709" w:leader="none"/>
        </w:tabs>
        <w:jc w:val="both"/>
        <w:rPr/>
      </w:pPr>
      <w:r>
        <w:rPr>
          <w:lang w:val="sk-SK"/>
        </w:rPr>
        <w:t xml:space="preserve">Zmluva sa uzatvára na dobu </w:t>
      </w:r>
      <w:r>
        <w:rPr>
          <w:lang w:val="sk-SK"/>
        </w:rPr>
        <w:t>u</w:t>
      </w:r>
      <w:r>
        <w:rPr>
          <w:lang w:val="sk-SK"/>
        </w:rPr>
        <w:t xml:space="preserve">rčitú </w:t>
      </w:r>
      <w:r>
        <w:rPr>
          <w:lang w:val="sk-SK"/>
        </w:rPr>
        <w:t>1 rok od podpisania zmluvy</w:t>
      </w:r>
      <w:r>
        <w:rPr>
          <w:lang w:val="sk-SK"/>
        </w:rPr>
        <w:t xml:space="preserve">. Účinnosť táto zmluva nadobúda po jej povinnom zverejnení v zmysle ustanovení zákona č. 211/2000 Z.z. o slobodnom prístupe k informáciám a o zmene a doplnení niektorých zákonov (zákon o slobode informácií) v znení neskorších predpisov, platnosť dňom podpísania zmluvnými stranami. Zmluvné strany sú povinné si navzájom oznámiť naplnenie podmienok pre nadobudnutie účinnosti zmluvy. </w:t>
      </w:r>
    </w:p>
    <w:p>
      <w:pPr>
        <w:pStyle w:val="Normal"/>
        <w:tabs>
          <w:tab w:val="left" w:pos="709" w:leader="none"/>
        </w:tabs>
        <w:jc w:val="both"/>
        <w:rPr>
          <w:lang w:val="sk-SK"/>
        </w:rPr>
      </w:pPr>
      <w:r>
        <w:rPr>
          <w:lang w:val="sk-SK"/>
        </w:rPr>
      </w:r>
    </w:p>
    <w:p>
      <w:pPr>
        <w:pStyle w:val="Normal"/>
        <w:numPr>
          <w:ilvl w:val="0"/>
          <w:numId w:val="1"/>
        </w:numPr>
        <w:tabs>
          <w:tab w:val="left" w:pos="709" w:leader="none"/>
        </w:tabs>
        <w:jc w:val="center"/>
        <w:rPr>
          <w:lang w:val="sk-SK"/>
        </w:rPr>
      </w:pPr>
      <w:r>
        <w:rPr>
          <w:b/>
          <w:lang w:val="sk-SK"/>
        </w:rPr>
        <w:t>Predmet a účel zmluvy</w:t>
      </w:r>
    </w:p>
    <w:p>
      <w:pPr>
        <w:pStyle w:val="Normal"/>
        <w:tabs>
          <w:tab w:val="left" w:pos="709" w:leader="none"/>
        </w:tabs>
        <w:jc w:val="both"/>
        <w:rPr>
          <w:lang w:val="sk-SK"/>
        </w:rPr>
      </w:pPr>
      <w:r>
        <w:rPr>
          <w:lang w:val="sk-SK"/>
        </w:rPr>
      </w:r>
    </w:p>
    <w:p>
      <w:pPr>
        <w:pStyle w:val="Normal"/>
        <w:tabs>
          <w:tab w:val="left" w:pos="709" w:leader="none"/>
        </w:tabs>
        <w:ind w:left="20" w:hanging="0"/>
        <w:jc w:val="both"/>
        <w:rPr>
          <w:lang w:val="sk-SK"/>
        </w:rPr>
      </w:pPr>
      <w:r>
        <w:rPr>
          <w:lang w:val="sk-SK"/>
        </w:rPr>
        <w:t xml:space="preserve">Účelom tejto zmluvy je zabezpečiť výkon zdravotného dohľadu (ďalej aj ako „pracovná zdravotná služba“ alebo „PZS“) pre zamestnancov objednávateľa vykonávajúcich prácu zaradenú do prvej kategórie alebo druhej kategórie a poskytovať odborné a poradenské činnosti objednávateľovi za účelom plnenia jeho povinností v oblasti ochrany a podpory zdravia pri práci, najmä podľa § 30 ods. 1 písm. a) až d), f), l) až n) zákona č. 355/2007 Z.z. o ochrane, podpore a rozvoji verejného zdravia a o zmene a doplnení niektorých zákonov v znení neskorších predpisov (ďalej aj ako „zákon“) dodávateľským spôsobom. </w:t>
      </w:r>
    </w:p>
    <w:p>
      <w:pPr>
        <w:pStyle w:val="Telotextu"/>
        <w:tabs>
          <w:tab w:val="left" w:pos="709" w:leader="none"/>
        </w:tabs>
        <w:spacing w:before="0" w:after="0"/>
        <w:ind w:left="607" w:hanging="0"/>
        <w:rPr>
          <w:sz w:val="20"/>
        </w:rPr>
      </w:pPr>
      <w:r>
        <w:rPr>
          <w:sz w:val="20"/>
        </w:rPr>
      </w:r>
    </w:p>
    <w:p>
      <w:pPr>
        <w:pStyle w:val="Normal"/>
        <w:numPr>
          <w:ilvl w:val="0"/>
          <w:numId w:val="1"/>
        </w:numPr>
        <w:tabs>
          <w:tab w:val="left" w:pos="709" w:leader="none"/>
        </w:tabs>
        <w:jc w:val="center"/>
        <w:rPr>
          <w:lang w:val="sk-SK"/>
        </w:rPr>
      </w:pPr>
      <w:r>
        <w:rPr>
          <w:b/>
          <w:lang w:val="sk-SK"/>
        </w:rPr>
        <w:t>Služby poskytované poskytovateľom</w:t>
      </w:r>
    </w:p>
    <w:p>
      <w:pPr>
        <w:pStyle w:val="Normal"/>
        <w:tabs>
          <w:tab w:val="left" w:pos="709" w:leader="none"/>
        </w:tabs>
        <w:ind w:left="360" w:hanging="0"/>
        <w:rPr>
          <w:lang w:val="sk-SK"/>
        </w:rPr>
      </w:pPr>
      <w:r>
        <w:rPr>
          <w:lang w:val="sk-SK"/>
        </w:rPr>
      </w:r>
    </w:p>
    <w:p>
      <w:pPr>
        <w:pStyle w:val="Normal"/>
        <w:tabs>
          <w:tab w:val="left" w:pos="709" w:leader="none"/>
        </w:tabs>
        <w:jc w:val="both"/>
        <w:rPr>
          <w:lang w:val="sk-SK"/>
        </w:rPr>
      </w:pPr>
      <w:r>
        <w:rPr>
          <w:lang w:val="sk-SK"/>
        </w:rPr>
        <w:t xml:space="preserve">Poskytovateľ sa zaväzuje zabezpečiť pre objednávateľa v súlade so všeobecne záväznými právnymi predpismi a za podmienok dohodnutých v zmluve jednotlivé výkony PZS pre zamestnancov, ktorí sú v pracovnoprávnom vzťahu k objednávateľovi (ďalej len „zamestnanec“) a pre prevádzky objednávateľa na území Slovenskej republiky špecifikované v zmluve v prílohe „Dotazník“. Poskytovateľ poskytne jednotlivé výkony PZS v rozsahu uvedenom v čl. III. VOP. </w:t>
      </w:r>
    </w:p>
    <w:p>
      <w:pPr>
        <w:pStyle w:val="Normal"/>
        <w:tabs>
          <w:tab w:val="left" w:pos="709" w:leader="none"/>
        </w:tabs>
        <w:jc w:val="both"/>
        <w:rPr>
          <w:lang w:val="sk-SK"/>
        </w:rPr>
      </w:pPr>
      <w:r>
        <w:rPr>
          <w:lang w:val="sk-SK"/>
        </w:rPr>
      </w:r>
    </w:p>
    <w:p>
      <w:pPr>
        <w:pStyle w:val="ListParagraph"/>
        <w:numPr>
          <w:ilvl w:val="0"/>
          <w:numId w:val="1"/>
        </w:numPr>
        <w:tabs>
          <w:tab w:val="left" w:pos="709" w:leader="none"/>
        </w:tabs>
        <w:jc w:val="center"/>
        <w:rPr>
          <w:lang w:val="sk-SK"/>
        </w:rPr>
      </w:pPr>
      <w:r>
        <w:rPr>
          <w:b/>
          <w:lang w:val="sk-SK"/>
        </w:rPr>
        <w:t>Cena a platobné podmienky</w:t>
      </w:r>
    </w:p>
    <w:p>
      <w:pPr>
        <w:pStyle w:val="ListParagraph"/>
        <w:tabs>
          <w:tab w:val="left" w:pos="709" w:leader="none"/>
        </w:tabs>
        <w:ind w:left="360" w:hanging="0"/>
        <w:rPr>
          <w:lang w:val="sk-SK"/>
        </w:rPr>
      </w:pPr>
      <w:r>
        <w:rPr>
          <w:lang w:val="sk-SK"/>
        </w:rPr>
      </w:r>
    </w:p>
    <w:p>
      <w:pPr>
        <w:pStyle w:val="Normal"/>
        <w:suppressAutoHyphens w:val="false"/>
        <w:jc w:val="both"/>
        <w:rPr>
          <w:lang w:val="sk-SK"/>
        </w:rPr>
      </w:pPr>
      <w:r>
        <w:rPr>
          <w:lang w:val="sk-SK"/>
        </w:rPr>
        <w:t>Zmluvné strany sa dohodli, že objednávateľ je povinný zaplatiť poskytovateľovi  odmenu za poskytovanú službu na základe faktúry vystavenej poskytovateľom so splatnosťou 7 kalendárnych dní od jej vystavenia.</w:t>
      </w:r>
    </w:p>
    <w:p>
      <w:pPr>
        <w:pStyle w:val="Normal"/>
        <w:tabs>
          <w:tab w:val="left" w:pos="0" w:leader="none"/>
          <w:tab w:val="left" w:pos="709" w:leader="none"/>
        </w:tabs>
        <w:jc w:val="both"/>
        <w:rPr>
          <w:lang w:val="sk-SK"/>
        </w:rPr>
      </w:pPr>
      <w:r>
        <w:rPr>
          <w:lang w:val="sk-SK"/>
        </w:rPr>
        <w:t xml:space="preserve">Poskytovateľ vystaví faktúru po podpísaní tejto zmluvy na odmenu za službu  poskytovanú podľa bodu 4 tejto zmluvy na dohodnuté zmluvné obdobie (podľa dohodnutej periodicity) a následne v ďalších periódach počas trvania tejto zmluvy vždy na dohodnuté zmluvné obdobie. </w:t>
      </w:r>
      <w:r>
        <w:rPr>
          <w:rFonts w:eastAsia="Arial Unicode MS"/>
          <w:lang w:val="sk-SK"/>
        </w:rPr>
        <w:t xml:space="preserve"> </w:t>
      </w:r>
    </w:p>
    <w:p>
      <w:pPr>
        <w:pStyle w:val="Normal"/>
        <w:suppressAutoHyphens w:val="false"/>
        <w:ind w:left="709" w:hanging="0"/>
        <w:jc w:val="both"/>
        <w:rPr>
          <w:b/>
          <w:b/>
          <w:lang w:val="sk-SK"/>
        </w:rPr>
      </w:pPr>
      <w:r>
        <w:rPr>
          <w:b/>
          <w:lang w:val="sk-SK"/>
        </w:rPr>
      </w:r>
    </w:p>
    <w:tbl>
      <w:tblPr>
        <w:tblW w:w="9620" w:type="dxa"/>
        <w:jc w:val="left"/>
        <w:tblInd w:w="41" w:type="dxa"/>
        <w:tblCellMar>
          <w:top w:w="55" w:type="dxa"/>
          <w:left w:w="53" w:type="dxa"/>
          <w:bottom w:w="55" w:type="dxa"/>
          <w:right w:w="55" w:type="dxa"/>
        </w:tblCellMar>
        <w:tblLook w:firstRow="0" w:noVBand="0" w:lastRow="0" w:firstColumn="0" w:lastColumn="0" w:noHBand="0" w:val="0000"/>
      </w:tblPr>
      <w:tblGrid>
        <w:gridCol w:w="3390"/>
        <w:gridCol w:w="2963"/>
        <w:gridCol w:w="3267"/>
      </w:tblGrid>
      <w:tr>
        <w:trPr/>
        <w:tc>
          <w:tcPr>
            <w:tcW w:w="3390" w:type="dxa"/>
            <w:tcBorders>
              <w:top w:val="single" w:sz="2" w:space="0" w:color="000000"/>
              <w:left w:val="single" w:sz="2" w:space="0" w:color="000000"/>
              <w:bottom w:val="single" w:sz="2" w:space="0" w:color="000000"/>
            </w:tcBorders>
            <w:shd w:color="auto" w:fill="auto" w:val="clear"/>
          </w:tcPr>
          <w:p>
            <w:pPr>
              <w:pStyle w:val="Obsahtabuky"/>
              <w:jc w:val="center"/>
              <w:rPr>
                <w:lang w:val="sk-SK"/>
              </w:rPr>
            </w:pPr>
            <w:r>
              <w:rPr>
                <w:i/>
                <w:iCs/>
                <w:lang w:val="sk-SK"/>
              </w:rPr>
              <w:t>služba</w:t>
            </w:r>
          </w:p>
        </w:tc>
        <w:tc>
          <w:tcPr>
            <w:tcW w:w="2963" w:type="dxa"/>
            <w:tcBorders>
              <w:top w:val="single" w:sz="2" w:space="0" w:color="000000"/>
              <w:left w:val="single" w:sz="2" w:space="0" w:color="000000"/>
              <w:bottom w:val="single" w:sz="2" w:space="0" w:color="000000"/>
            </w:tcBorders>
            <w:shd w:color="auto" w:fill="auto" w:val="clear"/>
          </w:tcPr>
          <w:p>
            <w:pPr>
              <w:pStyle w:val="Obsahtabuky"/>
              <w:jc w:val="center"/>
              <w:rPr>
                <w:lang w:val="sk-SK"/>
              </w:rPr>
            </w:pPr>
            <w:r>
              <w:rPr>
                <w:i/>
                <w:iCs/>
                <w:lang w:val="sk-SK"/>
              </w:rPr>
              <w:t>Cena bez DPH</w:t>
            </w:r>
          </w:p>
        </w:tc>
        <w:tc>
          <w:tcPr>
            <w:tcW w:w="326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jc w:val="center"/>
              <w:rPr>
                <w:lang w:val="sk-SK"/>
              </w:rPr>
            </w:pPr>
            <w:r>
              <w:rPr>
                <w:i/>
                <w:iCs/>
                <w:lang w:val="sk-SK"/>
              </w:rPr>
              <w:t xml:space="preserve">Cena s DPH </w:t>
            </w:r>
          </w:p>
        </w:tc>
      </w:tr>
      <w:tr>
        <w:trPr/>
        <w:tc>
          <w:tcPr>
            <w:tcW w:w="3390" w:type="dxa"/>
            <w:tcBorders>
              <w:top w:val="single" w:sz="2" w:space="0" w:color="000000"/>
              <w:left w:val="single" w:sz="2" w:space="0" w:color="000000"/>
              <w:bottom w:val="single" w:sz="2" w:space="0" w:color="000000"/>
            </w:tcBorders>
            <w:shd w:color="auto" w:fill="auto" w:val="clear"/>
          </w:tcPr>
          <w:p>
            <w:pPr>
              <w:pStyle w:val="Obsahtabuky"/>
              <w:jc w:val="center"/>
              <w:rPr>
                <w:lang w:val="sk-SK"/>
              </w:rPr>
            </w:pPr>
            <w:r>
              <w:rPr>
                <w:lang w:val="sk-SK"/>
              </w:rPr>
              <w:t>Pracovná zdravotná služba na dohodnuté zmluvné obdobie</w:t>
            </w:r>
          </w:p>
        </w:tc>
        <w:tc>
          <w:tcPr>
            <w:tcW w:w="2963" w:type="dxa"/>
            <w:tcBorders>
              <w:top w:val="single" w:sz="2" w:space="0" w:color="000000"/>
              <w:left w:val="single" w:sz="2" w:space="0" w:color="000000"/>
              <w:bottom w:val="single" w:sz="2" w:space="0" w:color="000000"/>
            </w:tcBorders>
            <w:shd w:color="auto" w:fill="auto" w:val="clear"/>
          </w:tcPr>
          <w:p>
            <w:pPr>
              <w:pStyle w:val="Obsahtabuky"/>
              <w:rPr/>
            </w:pPr>
            <w:r>
              <w:rPr>
                <w:lang w:val="sk-SK"/>
              </w:rPr>
              <w:t xml:space="preserve">                            </w:t>
            </w:r>
            <w:r>
              <w:rPr>
                <w:lang w:val="sk-SK"/>
              </w:rPr>
              <w:t>14</w:t>
            </w:r>
            <w:r>
              <w:rPr>
                <w:lang w:val="sk-SK"/>
              </w:rPr>
              <w:t xml:space="preserve">00  .€                   </w:t>
            </w:r>
          </w:p>
        </w:tc>
        <w:tc>
          <w:tcPr>
            <w:tcW w:w="3267"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pPr>
            <w:r>
              <w:rPr>
                <w:lang w:val="sk-SK"/>
              </w:rPr>
              <w:t xml:space="preserve">                             </w:t>
            </w:r>
            <w:r>
              <w:rPr>
                <w:lang w:val="sk-SK"/>
              </w:rPr>
              <w:t>1680</w:t>
            </w:r>
            <w:r>
              <w:rPr>
                <w:lang w:val="sk-SK"/>
              </w:rPr>
              <w:t xml:space="preserve">  .€</w:t>
            </w:r>
          </w:p>
        </w:tc>
      </w:tr>
    </w:tbl>
    <w:p>
      <w:pPr>
        <w:pStyle w:val="Normal"/>
        <w:suppressAutoHyphens w:val="false"/>
        <w:jc w:val="both"/>
        <w:rPr>
          <w:lang w:val="sk-SK"/>
        </w:rPr>
      </w:pPr>
      <w:r>
        <w:rPr>
          <w:lang w:val="sk-SK"/>
        </w:rPr>
      </w:r>
    </w:p>
    <w:p>
      <w:pPr>
        <w:pStyle w:val="Normal"/>
        <w:suppressAutoHyphens w:val="false"/>
        <w:jc w:val="both"/>
        <w:rPr>
          <w:lang w:val="sk-SK"/>
        </w:rPr>
      </w:pPr>
      <w:r>
        <w:rPr>
          <w:lang w:val="sk-SK"/>
        </w:rPr>
        <w:t xml:space="preserve">Dohodnutá paušálna odmena je zostavená na základe informácií uvedených v Dotazníku, ktorý tvorí neoddeliteľnú súčasť tejto zmluvy. Dotazník je podpísaný objednávateľom a priložený k zmluve. Objednávateľ svojim podpisom potvrdzuje pravosť informácií v ňom uvedených. </w:t>
      </w:r>
    </w:p>
    <w:p>
      <w:pPr>
        <w:pStyle w:val="Normal"/>
        <w:suppressAutoHyphens w:val="false"/>
        <w:jc w:val="both"/>
        <w:rPr>
          <w:lang w:val="sk-SK"/>
        </w:rPr>
      </w:pPr>
      <w:r>
        <w:rPr>
          <w:lang w:val="sk-SK"/>
        </w:rPr>
        <w:t xml:space="preserve">Ak v priebehu trvania  zmluvného vzťahu poskytovateľ zistí nesúlad skutočností uvedených v Dotazníku so skutočnosťou a tieto skutočnosti </w:t>
      </w:r>
      <w:r>
        <w:rPr>
          <w:b/>
          <w:lang w:val="sk-SK"/>
        </w:rPr>
        <w:t>bránia poskytovateľovi v riadnom a včasnom plnení predmetu zmluvy</w:t>
      </w:r>
      <w:r>
        <w:rPr>
          <w:lang w:val="sk-SK"/>
        </w:rPr>
        <w:t xml:space="preserve"> môže poskytovateľ od zmluvy </w:t>
      </w:r>
      <w:r>
        <w:rPr>
          <w:b/>
          <w:lang w:val="sk-SK"/>
        </w:rPr>
        <w:t>okamžite odstúpiť.</w:t>
      </w:r>
      <w:r>
        <w:rPr>
          <w:lang w:val="sk-SK"/>
        </w:rPr>
        <w:t xml:space="preserve"> V prípade okamžitého odstúpenia poskytovateľom má poskytovateľ nárok na úhradu preukázateľných nákladov spojených s poskytovaním služieb do momentu odstúpenia. </w:t>
      </w:r>
    </w:p>
    <w:p>
      <w:pPr>
        <w:pStyle w:val="Normal"/>
        <w:suppressAutoHyphens w:val="false"/>
        <w:jc w:val="both"/>
        <w:rPr>
          <w:lang w:val="sk-SK"/>
        </w:rPr>
      </w:pPr>
      <w:r>
        <w:rPr>
          <w:lang w:val="sk-SK"/>
        </w:rPr>
        <w:t xml:space="preserve">V prípade, ak zistený nesúlad </w:t>
      </w:r>
      <w:r>
        <w:rPr>
          <w:b/>
          <w:lang w:val="sk-SK"/>
        </w:rPr>
        <w:t>nebráni poskytovateľovi v riadnom a včasnom plnení predmetu zmluvy</w:t>
      </w:r>
      <w:r>
        <w:rPr>
          <w:lang w:val="sk-SK"/>
        </w:rPr>
        <w:t xml:space="preserve">, môže poskytovateľ od objednávateľa v primeranej lehote požadovať doplatenie rozdielu odmeny, ktorú by požadoval, ak by boli v Dotazníku uvedené pravdivé údaje od už uhradenej odmeny a to v primeranej lehote. Ak objednávateľ v primeranej lehote doplatok neuhradí, má poskytovateľ tie isté práva, ako by zistil skutočnosti, ktoré bránia poskytovateľovi v riadnom a včasnom plnení predmetu zmluvy. </w:t>
      </w:r>
    </w:p>
    <w:p>
      <w:pPr>
        <w:pStyle w:val="Normal"/>
        <w:suppressAutoHyphens w:val="false"/>
        <w:jc w:val="both"/>
        <w:rPr>
          <w:lang w:val="sk-SK"/>
        </w:rPr>
      </w:pPr>
      <w:r>
        <w:rPr>
          <w:lang w:val="sk-SK"/>
        </w:rPr>
        <w:t>Zmluvné strany sa dohodli, že v prípade zásadných zmien podmienok, ktoré boli rozhodujúce pre určenie rozsahu poskytovaných odborných výkonov, zmení sa rozsah hodín pre poskytovanie odborných výkonov PZS a súčasne paušálna cena za poskytované odborné výkony na základe písomného dodatku k tejto zmluve.</w:t>
      </w:r>
    </w:p>
    <w:p>
      <w:pPr>
        <w:pStyle w:val="Normal"/>
        <w:suppressAutoHyphens w:val="false"/>
        <w:jc w:val="both"/>
        <w:rPr>
          <w:lang w:val="sk-SK"/>
        </w:rPr>
      </w:pPr>
      <w:r>
        <w:rPr>
          <w:lang w:val="sk-SK"/>
        </w:rPr>
        <w:t>Ak objednávateľ neuhradí poskytovateľovi odmenu na základe vystavenej faktúry riadne a včas, má poskytovateľ nárok od objednávateľa na úhradu úroku z omeškania vo výške 0,05 % z dlžnej sumy za každý deň z omeškania.</w:t>
      </w:r>
    </w:p>
    <w:p>
      <w:pPr>
        <w:pStyle w:val="Normal"/>
        <w:suppressAutoHyphens w:val="false"/>
        <w:jc w:val="both"/>
        <w:rPr>
          <w:lang w:val="sk-SK"/>
        </w:rPr>
      </w:pPr>
      <w:r>
        <w:rPr>
          <w:lang w:val="sk-SK"/>
        </w:rPr>
        <w:t xml:space="preserve">Za deň úhrady sa považuje deň, kedy finančné prostriedky boli pripísané na účet poskytovateľa v plnej výške. </w:t>
      </w:r>
    </w:p>
    <w:p>
      <w:pPr>
        <w:pStyle w:val="Normal"/>
        <w:suppressAutoHyphens w:val="false"/>
        <w:jc w:val="both"/>
        <w:rPr>
          <w:lang w:val="sk-SK"/>
        </w:rPr>
      </w:pPr>
      <w:r>
        <w:rPr>
          <w:lang w:val="sk-SK"/>
        </w:rPr>
        <w:t xml:space="preserve">V prípade, ak sa zmluvné strany písomne dohodli na uplatnení tzv. SKONTA, zaškrtli políčko vo formulárovej časti tejto zmluvy. V uvedenom prípade platí nasledovné: </w:t>
      </w:r>
    </w:p>
    <w:p>
      <w:pPr>
        <w:pStyle w:val="ListParagraph"/>
        <w:numPr>
          <w:ilvl w:val="0"/>
          <w:numId w:val="3"/>
        </w:numPr>
        <w:suppressAutoHyphens w:val="false"/>
        <w:jc w:val="both"/>
        <w:rPr>
          <w:bCs/>
          <w:lang w:val="sk-SK"/>
        </w:rPr>
      </w:pPr>
      <w:r>
        <w:rPr>
          <w:bCs/>
          <w:lang w:val="sk-SK"/>
        </w:rPr>
        <w:t xml:space="preserve">Zhotoviteľ a objednávateľ budú v prípade uplatnenia skonta postupovať v súlade s ustanovením </w:t>
      </w:r>
      <w:r>
        <w:rPr>
          <w:b/>
          <w:bCs/>
          <w:lang w:val="sk-SK"/>
        </w:rPr>
        <w:t xml:space="preserve">§ 25 ods. 6 zákona č. 222/2004 Z. z. o dani z pridanej hodnoty </w:t>
      </w:r>
      <w:r>
        <w:rPr>
          <w:bCs/>
          <w:lang w:val="sk-SK"/>
        </w:rPr>
        <w:t>v platnom znení.</w:t>
      </w:r>
    </w:p>
    <w:p>
      <w:pPr>
        <w:pStyle w:val="ListParagraph"/>
        <w:numPr>
          <w:ilvl w:val="0"/>
          <w:numId w:val="3"/>
        </w:numPr>
        <w:suppressAutoHyphens w:val="false"/>
        <w:jc w:val="both"/>
        <w:rPr>
          <w:bCs/>
          <w:lang w:val="sk-SK"/>
        </w:rPr>
      </w:pPr>
      <w:r>
        <w:rPr>
          <w:bCs/>
          <w:lang w:val="sk-SK"/>
        </w:rPr>
        <w:t xml:space="preserve">SKONTO znamená, že v prípade, ak objednávateľ uhradí vystavenú faktúru </w:t>
      </w:r>
      <w:r>
        <w:rPr>
          <w:b/>
          <w:bCs/>
          <w:lang w:val="sk-SK"/>
        </w:rPr>
        <w:t xml:space="preserve">do 5 dní odo dňa jej vystavenia, </w:t>
      </w:r>
      <w:r>
        <w:rPr>
          <w:bCs/>
          <w:lang w:val="sk-SK"/>
        </w:rPr>
        <w:t xml:space="preserve"> je oprávnený uhradiť uvedenú sumu poníženú o 5% z celkovej hodnoty s DPH. </w:t>
      </w:r>
    </w:p>
    <w:p>
      <w:pPr>
        <w:pStyle w:val="ListParagraph"/>
        <w:numPr>
          <w:ilvl w:val="0"/>
          <w:numId w:val="3"/>
        </w:numPr>
        <w:suppressAutoHyphens w:val="false"/>
        <w:jc w:val="both"/>
        <w:rPr>
          <w:bCs/>
          <w:lang w:val="sk-SK"/>
        </w:rPr>
      </w:pPr>
      <w:r>
        <w:rPr>
          <w:bCs/>
          <w:lang w:val="sk-SK"/>
        </w:rPr>
        <w:t xml:space="preserve">Nárok na skonto po márnom uplynutí 5-teho dňa zaniká. V prípade úhrady fakturovanej sumy v 6-ty a ďalší nasledujúci deň splatnosti faktúry je povinný uhradiť sumu v plnej výške. </w:t>
      </w:r>
    </w:p>
    <w:p>
      <w:pPr>
        <w:pStyle w:val="ListParagraph"/>
        <w:numPr>
          <w:ilvl w:val="0"/>
          <w:numId w:val="3"/>
        </w:numPr>
        <w:suppressAutoHyphens w:val="false"/>
        <w:jc w:val="both"/>
        <w:rPr>
          <w:lang w:val="sk-SK"/>
        </w:rPr>
      </w:pPr>
      <w:r>
        <w:rPr>
          <w:bCs/>
          <w:lang w:val="sk-SK"/>
        </w:rPr>
        <w:t>Skonto sa počíta z celkovej ceny na úhradu, na faktúre nie je potrebné uvádzať upravenú výšku sumy na úhradu. DPH sa nebude upravovať v súlade so znením odseku 6 § 25 zákona o dani z pridanej hodnoty.</w:t>
      </w:r>
    </w:p>
    <w:p>
      <w:pPr>
        <w:pStyle w:val="Normal"/>
        <w:numPr>
          <w:ilvl w:val="0"/>
          <w:numId w:val="1"/>
        </w:numPr>
        <w:tabs>
          <w:tab w:val="left" w:pos="709" w:leader="none"/>
          <w:tab w:val="left" w:pos="851" w:leader="none"/>
        </w:tabs>
        <w:suppressAutoHyphens w:val="false"/>
        <w:jc w:val="center"/>
        <w:rPr>
          <w:lang w:val="sk-SK"/>
        </w:rPr>
      </w:pPr>
      <w:r>
        <w:rPr>
          <w:b/>
          <w:lang w:val="sk-SK"/>
        </w:rPr>
        <w:t>Práva a povinnosti</w:t>
      </w:r>
    </w:p>
    <w:p>
      <w:pPr>
        <w:pStyle w:val="Normal"/>
        <w:tabs>
          <w:tab w:val="left" w:pos="709" w:leader="none"/>
          <w:tab w:val="left" w:pos="851" w:leader="none"/>
        </w:tabs>
        <w:suppressAutoHyphens w:val="false"/>
        <w:ind w:left="360" w:hanging="0"/>
        <w:rPr>
          <w:lang w:val="sk-SK"/>
        </w:rPr>
      </w:pPr>
      <w:r>
        <w:rPr>
          <w:lang w:val="sk-SK"/>
        </w:rPr>
      </w:r>
    </w:p>
    <w:p>
      <w:pPr>
        <w:pStyle w:val="Normal"/>
        <w:tabs>
          <w:tab w:val="clear" w:pos="709"/>
          <w:tab w:val="left" w:pos="660" w:leader="none"/>
        </w:tabs>
        <w:jc w:val="both"/>
        <w:rPr>
          <w:lang w:val="sk-SK"/>
        </w:rPr>
      </w:pPr>
      <w:r>
        <w:rPr>
          <w:lang w:val="sk-SK"/>
        </w:rPr>
        <w:t xml:space="preserve">Poskytovateľ sa zaväzuje poskytovať služby v súlade s platnými právnymi predpismi, v súlade  s touto zmluvou a bez zbytočného odkladu. Činnosti budú vykonávané prostredníctvom odborných pracovníkov kvalifikovaných podľa osobitných predpisov. Poskytovateľ sa zaväzuje poskytovať služby, ktoré sú predmetom tejto zmluvy následne po úhrade faktúry objednávateľom. Poskytovateľ nie je povinný plniť na základe tejto zmluvy skôr, ako bude predmetná suma pripísaná na jeho účet uvedený v záhlaví zmluvy. Prípadné iné dojednania podmienok týkajúcich sa dodania predmetných služieb je možné iba písomným dodatkom k tejto zmluve. </w:t>
      </w:r>
    </w:p>
    <w:p>
      <w:pPr>
        <w:pStyle w:val="Normal"/>
        <w:tabs>
          <w:tab w:val="clear" w:pos="709"/>
          <w:tab w:val="left" w:pos="660" w:leader="none"/>
        </w:tabs>
        <w:jc w:val="both"/>
        <w:rPr>
          <w:lang w:val="sk-SK"/>
        </w:rPr>
      </w:pPr>
      <w:r>
        <w:rPr>
          <w:lang w:val="sk-SK"/>
        </w:rPr>
      </w:r>
    </w:p>
    <w:p>
      <w:pPr>
        <w:pStyle w:val="Normal"/>
        <w:numPr>
          <w:ilvl w:val="0"/>
          <w:numId w:val="1"/>
        </w:numPr>
        <w:tabs>
          <w:tab w:val="clear" w:pos="709"/>
          <w:tab w:val="left" w:pos="660" w:leader="none"/>
        </w:tabs>
        <w:jc w:val="center"/>
        <w:rPr>
          <w:lang w:val="sk-SK"/>
        </w:rPr>
      </w:pPr>
      <w:r>
        <w:rPr>
          <w:b/>
          <w:lang w:val="sk-SK"/>
        </w:rPr>
        <w:t>Osobitné ustanovenia</w:t>
      </w:r>
    </w:p>
    <w:p>
      <w:pPr>
        <w:pStyle w:val="Normal"/>
        <w:tabs>
          <w:tab w:val="clear" w:pos="709"/>
          <w:tab w:val="left" w:pos="660" w:leader="none"/>
        </w:tabs>
        <w:rPr>
          <w:lang w:val="sk-SK"/>
        </w:rPr>
      </w:pPr>
      <w:r>
        <w:rPr>
          <w:lang w:val="sk-SK"/>
        </w:rPr>
      </w:r>
    </w:p>
    <w:p>
      <w:pPr>
        <w:pStyle w:val="Normal"/>
        <w:tabs>
          <w:tab w:val="left" w:pos="709" w:leader="none"/>
        </w:tabs>
        <w:jc w:val="both"/>
        <w:rPr>
          <w:lang w:val="sk-SK"/>
        </w:rPr>
      </w:pPr>
      <w:r>
        <w:rPr>
          <w:lang w:val="sk-SK"/>
        </w:rPr>
        <w:t>Všetky informácie verejne  neprístupné, ktoré zmluvné strany pri plnení tejto zmluvy alebo v jej súvislosti získajú ústne, písomne alebo v inej forme ohľadom druhej zmluvnej strany a jej činnosti, sa považujú za dôverné v zmysle § 271 Obchodného zákonníka a sú predmetom obchodného tajomstva dotknutej zmluvnej strany.</w:t>
      </w:r>
    </w:p>
    <w:p>
      <w:pPr>
        <w:pStyle w:val="Normal"/>
        <w:tabs>
          <w:tab w:val="left" w:pos="709" w:leader="none"/>
        </w:tabs>
        <w:jc w:val="both"/>
        <w:rPr>
          <w:lang w:val="sk-SK"/>
        </w:rPr>
      </w:pPr>
      <w:r>
        <w:rPr>
          <w:lang w:val="sk-SK"/>
        </w:rPr>
      </w:r>
    </w:p>
    <w:p>
      <w:pPr>
        <w:pStyle w:val="Normal"/>
        <w:numPr>
          <w:ilvl w:val="0"/>
          <w:numId w:val="1"/>
        </w:numPr>
        <w:tabs>
          <w:tab w:val="left" w:pos="709" w:leader="none"/>
        </w:tabs>
        <w:ind w:left="0" w:hanging="0"/>
        <w:jc w:val="center"/>
        <w:rPr>
          <w:lang w:val="sk-SK"/>
        </w:rPr>
      </w:pPr>
      <w:r>
        <w:rPr>
          <w:b/>
          <w:lang w:val="sk-SK"/>
        </w:rPr>
        <w:t>Záverečné ustanovenia</w:t>
      </w:r>
    </w:p>
    <w:p>
      <w:pPr>
        <w:pStyle w:val="Normal"/>
        <w:tabs>
          <w:tab w:val="left" w:pos="709" w:leader="none"/>
        </w:tabs>
        <w:rPr>
          <w:lang w:val="sk-SK"/>
        </w:rPr>
      </w:pPr>
      <w:r>
        <w:rPr>
          <w:lang w:val="sk-SK"/>
        </w:rPr>
      </w:r>
    </w:p>
    <w:p>
      <w:pPr>
        <w:pStyle w:val="Normal"/>
        <w:tabs>
          <w:tab w:val="left" w:pos="709" w:leader="none"/>
        </w:tabs>
        <w:ind w:left="705" w:hanging="705"/>
        <w:jc w:val="both"/>
        <w:rPr>
          <w:lang w:val="sk-SK"/>
        </w:rPr>
      </w:pPr>
      <w:r>
        <w:rPr>
          <w:lang w:val="sk-SK"/>
        </w:rPr>
        <w:t>Zmluva je vyhotovená v dvoch vyhotoveniach a každá zmluvná strana obdrží po jednom vyhotovení.</w:t>
      </w:r>
    </w:p>
    <w:p>
      <w:pPr>
        <w:pStyle w:val="Normal"/>
        <w:ind w:left="705" w:hanging="705"/>
        <w:jc w:val="both"/>
        <w:rPr>
          <w:lang w:val="sk-SK"/>
        </w:rPr>
      </w:pPr>
      <w:r>
        <w:rPr>
          <w:lang w:val="sk-SK"/>
        </w:rPr>
        <w:t>V ostatných otázkach neupravených touto zmluvou platia ustanovenia  Obchodného zákonníka a ostatné</w:t>
      </w:r>
    </w:p>
    <w:p>
      <w:pPr>
        <w:pStyle w:val="Normal"/>
        <w:ind w:left="705" w:hanging="705"/>
        <w:jc w:val="both"/>
        <w:rPr>
          <w:lang w:val="sk-SK"/>
        </w:rPr>
      </w:pPr>
      <w:r>
        <w:rPr>
          <w:lang w:val="sk-SK"/>
        </w:rPr>
        <w:t xml:space="preserve">všeobecne záväzné predpisy platné v Slovenskej republike.                                                                                                                                                                                                                                                                                                                                                                                                                                                                                                                                                                               </w:t>
      </w:r>
    </w:p>
    <w:p>
      <w:pPr>
        <w:pStyle w:val="Normal"/>
        <w:tabs>
          <w:tab w:val="left" w:pos="709" w:leader="none"/>
        </w:tabs>
        <w:jc w:val="both"/>
        <w:rPr>
          <w:b/>
          <w:b/>
          <w:sz w:val="16"/>
          <w:szCs w:val="16"/>
          <w:lang w:val="sk-SK"/>
        </w:rPr>
      </w:pPr>
      <w:r>
        <w:rPr>
          <w:b/>
          <w:sz w:val="16"/>
          <w:szCs w:val="16"/>
          <w:lang w:val="sk-SK"/>
        </w:rPr>
        <w:t xml:space="preserve">Zmluvné strany sa za účelom vyvrátenia akýchkoľvek právnych nejasností dohodli, že táto zmluva ruší a nahrádza všetky predchádzajúce zmluvné vzťahy uzavreté písomne s objednávateľom, predmetom ktorých je poskytovanie služieb pracovnej zdravotnej služby. </w:t>
      </w:r>
    </w:p>
    <w:p>
      <w:pPr>
        <w:pStyle w:val="Normal"/>
        <w:tabs>
          <w:tab w:val="left" w:pos="709" w:leader="none"/>
        </w:tabs>
        <w:jc w:val="both"/>
        <w:rPr>
          <w:b/>
          <w:b/>
          <w:sz w:val="16"/>
          <w:szCs w:val="16"/>
          <w:lang w:val="sk-SK"/>
        </w:rPr>
      </w:pPr>
      <w:r>
        <w:rPr>
          <w:b/>
          <w:sz w:val="16"/>
          <w:szCs w:val="16"/>
          <w:lang w:val="sk-SK"/>
        </w:rPr>
      </w:r>
    </w:p>
    <w:p>
      <w:pPr>
        <w:pStyle w:val="Normal"/>
        <w:jc w:val="both"/>
        <w:rPr>
          <w:i/>
          <w:i/>
          <w:iCs/>
          <w:sz w:val="16"/>
          <w:szCs w:val="16"/>
          <w:lang w:val="sk-SK"/>
        </w:rPr>
      </w:pPr>
      <w:r>
        <w:rPr>
          <w:i/>
          <w:iCs/>
          <w:sz w:val="16"/>
          <w:szCs w:val="16"/>
          <w:lang w:val="sk-SK"/>
        </w:rPr>
        <w:t>Dokumenty tvoriace neoddeliteľnú súčasť zmluvy:</w:t>
      </w:r>
    </w:p>
    <w:p>
      <w:pPr>
        <w:pStyle w:val="ListParagraph"/>
        <w:numPr>
          <w:ilvl w:val="0"/>
          <w:numId w:val="2"/>
        </w:numPr>
        <w:jc w:val="both"/>
        <w:rPr>
          <w:i/>
          <w:i/>
          <w:iCs/>
          <w:sz w:val="16"/>
          <w:szCs w:val="16"/>
          <w:lang w:val="sk-SK"/>
        </w:rPr>
      </w:pPr>
      <w:r>
        <w:rPr>
          <w:i/>
          <w:iCs/>
          <w:sz w:val="16"/>
          <w:szCs w:val="16"/>
          <w:lang w:val="sk-SK"/>
        </w:rPr>
        <w:t xml:space="preserve">Všeobecné obchodné podmienky    Dotazník </w:t>
      </w:r>
    </w:p>
    <w:p>
      <w:pPr>
        <w:pStyle w:val="ListParagraph"/>
        <w:tabs>
          <w:tab w:val="left" w:pos="709" w:leader="none"/>
        </w:tabs>
        <w:jc w:val="both"/>
        <w:rPr>
          <w:i/>
          <w:i/>
          <w:iCs/>
          <w:sz w:val="16"/>
          <w:szCs w:val="16"/>
          <w:lang w:val="sk-SK"/>
        </w:rPr>
      </w:pPr>
      <w:r>
        <w:rPr>
          <w:i/>
          <w:iCs/>
          <w:sz w:val="16"/>
          <w:szCs w:val="16"/>
          <w:lang w:val="sk-SK"/>
        </w:rPr>
      </w:r>
    </w:p>
    <w:tbl>
      <w:tblPr>
        <w:tblW w:w="9620" w:type="dxa"/>
        <w:jc w:val="left"/>
        <w:tblInd w:w="41" w:type="dxa"/>
        <w:tblCellMar>
          <w:top w:w="55" w:type="dxa"/>
          <w:left w:w="53" w:type="dxa"/>
          <w:bottom w:w="55" w:type="dxa"/>
          <w:right w:w="55" w:type="dxa"/>
        </w:tblCellMar>
        <w:tblLook w:firstRow="0" w:noVBand="0" w:lastRow="0" w:firstColumn="0" w:lastColumn="0" w:noHBand="0" w:val="0000"/>
      </w:tblPr>
      <w:tblGrid>
        <w:gridCol w:w="4707"/>
        <w:gridCol w:w="280"/>
        <w:gridCol w:w="4633"/>
      </w:tblGrid>
      <w:tr>
        <w:trPr/>
        <w:tc>
          <w:tcPr>
            <w:tcW w:w="4707" w:type="dxa"/>
            <w:tcBorders>
              <w:top w:val="single" w:sz="2" w:space="0" w:color="000000"/>
              <w:left w:val="single" w:sz="2" w:space="0" w:color="000000"/>
              <w:bottom w:val="single" w:sz="2" w:space="0" w:color="000000"/>
            </w:tcBorders>
            <w:shd w:color="auto" w:fill="auto" w:val="clear"/>
          </w:tcPr>
          <w:p>
            <w:pPr>
              <w:pStyle w:val="Obsahtabuky"/>
              <w:jc w:val="both"/>
              <w:rPr/>
            </w:pPr>
            <w:r>
              <w:rPr>
                <w:lang w:val="sk-SK"/>
              </w:rPr>
              <w:t xml:space="preserve">Dátum:        </w:t>
            </w:r>
            <w:r>
              <w:rPr>
                <w:lang w:val="sk-SK"/>
              </w:rPr>
              <w:t>9</w:t>
            </w:r>
            <w:r>
              <w:rPr>
                <w:lang w:val="sk-SK"/>
              </w:rPr>
              <w:t>.1</w:t>
            </w:r>
            <w:r>
              <w:rPr>
                <w:lang w:val="sk-SK"/>
              </w:rPr>
              <w:t>1</w:t>
            </w:r>
            <w:r>
              <w:rPr>
                <w:lang w:val="sk-SK"/>
              </w:rPr>
              <w:t>. 2022        Miesto:   Bratislava</w:t>
            </w:r>
          </w:p>
        </w:tc>
        <w:tc>
          <w:tcPr>
            <w:tcW w:w="280" w:type="dxa"/>
            <w:vMerge w:val="restart"/>
            <w:tcBorders>
              <w:top w:val="single" w:sz="2" w:space="0" w:color="000000"/>
              <w:left w:val="single" w:sz="2" w:space="0" w:color="000000"/>
              <w:bottom w:val="single" w:sz="2" w:space="0" w:color="000000"/>
            </w:tcBorders>
            <w:shd w:color="auto" w:fill="auto" w:val="clear"/>
          </w:tcPr>
          <w:p>
            <w:pPr>
              <w:pStyle w:val="Obsahtabuky"/>
              <w:snapToGrid w:val="false"/>
              <w:jc w:val="center"/>
              <w:rPr>
                <w:i/>
                <w:i/>
                <w:iCs/>
                <w:lang w:val="sk-SK"/>
              </w:rPr>
            </w:pPr>
            <w:r>
              <w:rPr>
                <w:i/>
                <w:iCs/>
                <w:lang w:val="sk-SK"/>
              </w:rPr>
            </w:r>
          </w:p>
        </w:tc>
        <w:tc>
          <w:tcPr>
            <w:tcW w:w="4633"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pPr>
            <w:r>
              <w:rPr>
                <w:lang w:val="sk-SK"/>
              </w:rPr>
              <w:t xml:space="preserve">Dátum:     </w:t>
            </w:r>
            <w:r>
              <w:rPr>
                <w:lang w:val="sk-SK"/>
              </w:rPr>
              <w:t>9.11</w:t>
            </w:r>
            <w:r>
              <w:rPr>
                <w:lang w:val="sk-SK"/>
              </w:rPr>
              <w:t>. 2022    Miesto:   Bratislava</w:t>
            </w:r>
          </w:p>
        </w:tc>
      </w:tr>
      <w:tr>
        <w:trPr>
          <w:trHeight w:val="1170" w:hRule="atLeast"/>
        </w:trPr>
        <w:tc>
          <w:tcPr>
            <w:tcW w:w="4707" w:type="dxa"/>
            <w:tcBorders>
              <w:top w:val="single" w:sz="2" w:space="0" w:color="000000"/>
              <w:left w:val="single" w:sz="2" w:space="0" w:color="000000"/>
              <w:bottom w:val="single" w:sz="2" w:space="0" w:color="000000"/>
            </w:tcBorders>
            <w:shd w:color="auto" w:fill="auto" w:val="clear"/>
          </w:tcPr>
          <w:p>
            <w:pPr>
              <w:pStyle w:val="Obsahtabuky"/>
              <w:jc w:val="center"/>
              <w:rPr>
                <w:i/>
                <w:i/>
                <w:iCs/>
                <w:lang w:val="sk-SK"/>
              </w:rPr>
            </w:pPr>
            <w:r>
              <w:rPr/>
              <w:drawing>
                <wp:inline distT="0" distB="0" distL="0" distR="0">
                  <wp:extent cx="1342390" cy="473710"/>
                  <wp:effectExtent l="0" t="0" r="0" b="0"/>
                  <wp:docPr id="1" name="Obrázo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descr=""/>
                          <pic:cNvPicPr>
                            <a:picLocks noChangeAspect="1" noChangeArrowheads="1"/>
                          </pic:cNvPicPr>
                        </pic:nvPicPr>
                        <pic:blipFill>
                          <a:blip r:embed="rId3"/>
                          <a:stretch>
                            <a:fillRect/>
                          </a:stretch>
                        </pic:blipFill>
                        <pic:spPr bwMode="auto">
                          <a:xfrm>
                            <a:off x="0" y="0"/>
                            <a:ext cx="1342390" cy="473710"/>
                          </a:xfrm>
                          <a:prstGeom prst="rect">
                            <a:avLst/>
                          </a:prstGeom>
                        </pic:spPr>
                      </pic:pic>
                    </a:graphicData>
                  </a:graphic>
                </wp:inline>
              </w:drawing>
            </w:r>
          </w:p>
          <w:p>
            <w:pPr>
              <w:pStyle w:val="Obsahtabuky"/>
              <w:rPr>
                <w:i/>
                <w:i/>
                <w:iCs/>
                <w:lang w:val="sk-SK"/>
              </w:rPr>
            </w:pPr>
            <w:r>
              <w:rPr>
                <w:i/>
                <w:iCs/>
                <w:lang w:val="sk-SK"/>
              </w:rPr>
            </w:r>
          </w:p>
        </w:tc>
        <w:tc>
          <w:tcPr>
            <w:tcW w:w="280" w:type="dxa"/>
            <w:vMerge w:val="continue"/>
            <w:tcBorders>
              <w:top w:val="single" w:sz="2" w:space="0" w:color="000000"/>
              <w:left w:val="single" w:sz="2" w:space="0" w:color="000000"/>
              <w:bottom w:val="single" w:sz="2" w:space="0" w:color="000000"/>
            </w:tcBorders>
            <w:shd w:color="auto" w:fill="auto" w:val="clear"/>
          </w:tcPr>
          <w:p>
            <w:pPr>
              <w:pStyle w:val="Obsahtabuky"/>
              <w:snapToGrid w:val="false"/>
              <w:jc w:val="center"/>
              <w:rPr>
                <w:i/>
                <w:i/>
                <w:iCs/>
                <w:lang w:val="sk-SK"/>
              </w:rPr>
            </w:pPr>
            <w:r>
              <w:rPr>
                <w:i/>
                <w:iCs/>
                <w:lang w:val="sk-SK"/>
              </w:rPr>
            </w:r>
          </w:p>
        </w:tc>
        <w:tc>
          <w:tcPr>
            <w:tcW w:w="4633"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snapToGrid w:val="false"/>
              <w:jc w:val="center"/>
              <w:rPr>
                <w:i/>
                <w:i/>
                <w:iCs/>
                <w:lang w:val="sk-SK"/>
              </w:rPr>
            </w:pPr>
            <w:r>
              <w:rPr>
                <w:i/>
                <w:iCs/>
                <w:lang w:val="sk-SK"/>
              </w:rPr>
            </w:r>
          </w:p>
          <w:p>
            <w:pPr>
              <w:pStyle w:val="Obsahtabuky"/>
              <w:jc w:val="center"/>
              <w:rPr>
                <w:i/>
                <w:i/>
                <w:iCs/>
                <w:lang w:val="sk-SK"/>
              </w:rPr>
            </w:pPr>
            <w:r>
              <w:rPr>
                <w:i/>
                <w:iCs/>
                <w:lang w:val="sk-SK"/>
              </w:rPr>
            </w:r>
          </w:p>
          <w:p>
            <w:pPr>
              <w:pStyle w:val="Obsahtabuky"/>
              <w:jc w:val="center"/>
              <w:rPr>
                <w:i/>
                <w:i/>
                <w:iCs/>
                <w:lang w:val="sk-SK"/>
              </w:rPr>
            </w:pPr>
            <w:r>
              <w:rPr>
                <w:i/>
                <w:iCs/>
                <w:lang w:val="sk-SK"/>
              </w:rPr>
            </w:r>
          </w:p>
        </w:tc>
      </w:tr>
      <w:tr>
        <w:trPr/>
        <w:tc>
          <w:tcPr>
            <w:tcW w:w="4707" w:type="dxa"/>
            <w:tcBorders>
              <w:top w:val="single" w:sz="2" w:space="0" w:color="000000"/>
              <w:left w:val="single" w:sz="2" w:space="0" w:color="000000"/>
              <w:bottom w:val="single" w:sz="2" w:space="0" w:color="000000"/>
            </w:tcBorders>
            <w:shd w:color="auto" w:fill="auto" w:val="clear"/>
          </w:tcPr>
          <w:p>
            <w:pPr>
              <w:pStyle w:val="Normal"/>
              <w:jc w:val="both"/>
              <w:rPr>
                <w:lang w:val="sk-SK"/>
              </w:rPr>
            </w:pPr>
            <w:r>
              <w:rPr>
                <w:lang w:val="sk-SK"/>
              </w:rPr>
              <w:t>V zastúpení MG PZS, s.r.o.</w:t>
            </w:r>
          </w:p>
        </w:tc>
        <w:tc>
          <w:tcPr>
            <w:tcW w:w="280" w:type="dxa"/>
            <w:vMerge w:val="continue"/>
            <w:tcBorders>
              <w:top w:val="single" w:sz="2" w:space="0" w:color="000000"/>
              <w:left w:val="single" w:sz="2" w:space="0" w:color="000000"/>
              <w:bottom w:val="single" w:sz="2" w:space="0" w:color="000000"/>
            </w:tcBorders>
            <w:shd w:color="auto" w:fill="auto" w:val="clear"/>
          </w:tcPr>
          <w:p>
            <w:pPr>
              <w:pStyle w:val="Obsahtabuky"/>
              <w:snapToGrid w:val="false"/>
              <w:jc w:val="center"/>
              <w:rPr>
                <w:lang w:val="sk-SK"/>
              </w:rPr>
            </w:pPr>
            <w:r>
              <w:rPr>
                <w:lang w:val="sk-SK"/>
              </w:rPr>
            </w:r>
          </w:p>
        </w:tc>
        <w:tc>
          <w:tcPr>
            <w:tcW w:w="4633" w:type="dxa"/>
            <w:tcBorders>
              <w:top w:val="single" w:sz="2" w:space="0" w:color="000000"/>
              <w:left w:val="single" w:sz="2" w:space="0" w:color="000000"/>
              <w:bottom w:val="single" w:sz="2" w:space="0" w:color="000000"/>
              <w:right w:val="single" w:sz="2" w:space="0" w:color="000000"/>
            </w:tcBorders>
            <w:shd w:color="auto" w:fill="auto" w:val="clear"/>
          </w:tcPr>
          <w:p>
            <w:pPr>
              <w:pStyle w:val="Obsahtabuky"/>
              <w:rPr>
                <w:lang w:val="sk-SK"/>
              </w:rPr>
            </w:pPr>
            <w:r>
              <w:rPr>
                <w:lang w:val="sk-SK"/>
              </w:rPr>
              <w:t>Objednávateľ</w:t>
            </w:r>
          </w:p>
        </w:tc>
      </w:tr>
    </w:tbl>
    <w:p>
      <w:pPr>
        <w:pStyle w:val="Normal"/>
        <w:rPr/>
      </w:pPr>
      <w:r>
        <w:rPr/>
      </w:r>
      <w:bookmarkStart w:id="0" w:name="_Hlk499796332"/>
      <w:bookmarkStart w:id="1" w:name="_Hlk499796332"/>
      <w:bookmarkEnd w:id="1"/>
    </w:p>
    <w:p>
      <w:pPr>
        <w:pStyle w:val="Normal"/>
        <w:jc w:val="both"/>
        <w:rPr/>
      </w:pPr>
      <w:r>
        <w:rPr/>
      </w:r>
    </w:p>
    <w:sectPr>
      <w:headerReference w:type="default" r:id="rId4"/>
      <w:footerReference w:type="default" r:id="rId5"/>
      <w:type w:val="nextPage"/>
      <w:pgSz w:w="11906" w:h="16838"/>
      <w:pgMar w:left="1152" w:right="1152" w:header="720" w:top="1417" w:footer="708" w:bottom="1417" w:gutter="0"/>
      <w:pgNumType w:start="1"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Lucida Grande">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360" w:hanging="0"/>
      <w:jc w:val="center"/>
      <w:rPr/>
    </w:pPr>
    <w:r>
      <w:rPr/>
      <w:fldChar w:fldCharType="begin"/>
    </w:r>
    <w:r>
      <w:rPr/>
      <w:instrText> PAGE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rPr/>
    </w:pPr>
    <w:r>
      <w:rPr/>
      <w:drawing>
        <wp:inline distT="0" distB="0" distL="0" distR="0">
          <wp:extent cx="1149350" cy="347345"/>
          <wp:effectExtent l="0" t="0" r="0" b="0"/>
          <wp:docPr id="2" name="Obrázo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4" descr=""/>
                  <pic:cNvPicPr>
                    <a:picLocks noChangeAspect="1" noChangeArrowheads="1"/>
                  </pic:cNvPicPr>
                </pic:nvPicPr>
                <pic:blipFill>
                  <a:blip r:embed="rId1"/>
                  <a:stretch>
                    <a:fillRect/>
                  </a:stretch>
                </pic:blipFill>
                <pic:spPr bwMode="auto">
                  <a:xfrm>
                    <a:off x="0" y="0"/>
                    <a:ext cx="1149350" cy="34734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2"/>
        <w:b/>
        <w:szCs w:val="22"/>
      </w:rPr>
    </w:lvl>
    <w:lvl w:ilvl="1">
      <w:start w:val="1"/>
      <w:numFmt w:val="decimal"/>
      <w:lvlText w:val="%1.%2"/>
      <w:lvlJc w:val="left"/>
      <w:pPr>
        <w:tabs>
          <w:tab w:val="num" w:pos="720"/>
        </w:tabs>
        <w:ind w:left="720" w:hanging="360"/>
      </w:pPr>
      <w:rPr>
        <w:sz w:val="22"/>
        <w:b w:val="false"/>
        <w:szCs w:val="22"/>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lvl w:ilvl="0">
      <w:start w:val="1"/>
      <w:numFmt w:val="bullet"/>
      <w:lvlText w:val=""/>
      <w:lvlJc w:val="left"/>
      <w:pPr>
        <w:ind w:left="720" w:hanging="360"/>
      </w:pPr>
      <w:rPr>
        <w:rFonts w:ascii="Symbol" w:hAnsi="Symbol" w:cs="Symbol" w:hint="default"/>
        <w:sz w:val="16"/>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3"/>
      <w:numFmt w:val="bullet"/>
      <w:lvlText w:val="-"/>
      <w:lvlJc w:val="left"/>
      <w:pPr>
        <w:ind w:left="720" w:hanging="360"/>
      </w:pPr>
      <w:rPr>
        <w:rFonts w:ascii="Times New Roman" w:hAnsi="Times New Roman" w:cs="Times New Roman" w:hint="default"/>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sk-SK"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true"/>
      <w:bidi w:val="0"/>
      <w:jc w:val="left"/>
    </w:pPr>
    <w:rPr>
      <w:rFonts w:ascii="Times New Roman" w:hAnsi="Times New Roman" w:eastAsia="Times New Roman" w:cs="Times New Roman"/>
      <w:color w:val="auto"/>
      <w:kern w:val="0"/>
      <w:sz w:val="20"/>
      <w:szCs w:val="20"/>
      <w:lang w:val="en-US" w:eastAsia="en-U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5z0" w:customStyle="1">
    <w:name w:val="WW8Num5z0"/>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b/>
    </w:rPr>
  </w:style>
  <w:style w:type="character" w:styleId="WW8Num6z4" w:customStyle="1">
    <w:name w:val="WW8Num6z4"/>
    <w:qFormat/>
    <w:rPr>
      <w:rFonts w:ascii="Times New Roman" w:hAnsi="Times New Roman" w:cs="Times New Roman"/>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Times New Roman" w:hAnsi="Times New Roman" w:cs="OpenSymbol"/>
    </w:rPr>
  </w:style>
  <w:style w:type="character" w:styleId="WW8Num11z0" w:customStyle="1">
    <w:name w:val="WW8Num11z0"/>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rPr>
  </w:style>
  <w:style w:type="character" w:styleId="WW8Num15z0" w:customStyle="1">
    <w:name w:val="WW8Num15z0"/>
    <w:qFormat/>
    <w:rPr/>
  </w:style>
  <w:style w:type="character" w:styleId="WW8Num16z0" w:customStyle="1">
    <w:name w:val="WW8Num16z0"/>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AbsatzStandardschriftart" w:customStyle="1">
    <w:name w:val="Absatz-Standardschriftart"/>
    <w:qFormat/>
    <w:rPr/>
  </w:style>
  <w:style w:type="character" w:styleId="WW8Num19z0" w:customStyle="1">
    <w:name w:val="WW8Num19z0"/>
    <w:qFormat/>
    <w:rPr/>
  </w:style>
  <w:style w:type="character" w:styleId="WW8Num20z0" w:customStyle="1">
    <w:name w:val="WW8Num20z0"/>
    <w:qFormat/>
    <w:rPr/>
  </w:style>
  <w:style w:type="character" w:styleId="WW8Num20z1" w:customStyle="1">
    <w:name w:val="WW8Num20z1"/>
    <w:qFormat/>
    <w:rPr>
      <w:rFonts w:cs="Times New Roman"/>
      <w:b w:val="false"/>
    </w:rPr>
  </w:style>
  <w:style w:type="character" w:styleId="Predvolenpsmoodseku1" w:customStyle="1">
    <w:name w:val="Predvolené písmo odseku1"/>
    <w:qFormat/>
    <w:rPr/>
  </w:style>
  <w:style w:type="character" w:styleId="WW8Num10z1" w:customStyle="1">
    <w:name w:val="WW8Num10z1"/>
    <w:qFormat/>
    <w:rPr>
      <w:rFonts w:ascii="OpenSymbol" w:hAnsi="OpenSymbol" w:cs="Open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4z0" w:customStyle="1">
    <w:name w:val="WW8Num24z0"/>
    <w:qFormat/>
    <w:rPr/>
  </w:style>
  <w:style w:type="character" w:styleId="WW8Num25z1" w:customStyle="1">
    <w:name w:val="WW8Num25z1"/>
    <w:qFormat/>
    <w:rPr>
      <w:b w:val="false"/>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9z0" w:customStyle="1">
    <w:name w:val="WW8Num29z0"/>
    <w:qFormat/>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29z3" w:customStyle="1">
    <w:name w:val="WW8Num29z3"/>
    <w:qFormat/>
    <w:rPr>
      <w:rFonts w:ascii="Symbol" w:hAnsi="Symbol" w:cs="Symbol"/>
    </w:rPr>
  </w:style>
  <w:style w:type="character" w:styleId="WW8Num30z0" w:customStyle="1">
    <w:name w:val="WW8Num30z0"/>
    <w:qFormat/>
    <w:rPr>
      <w:rFonts w:cs="Times New Roman"/>
    </w:rPr>
  </w:style>
  <w:style w:type="character" w:styleId="WW8Num30z1" w:customStyle="1">
    <w:name w:val="WW8Num30z1"/>
    <w:qFormat/>
    <w:rPr>
      <w:rFonts w:cs="Times New Roman"/>
      <w:b w:val="false"/>
    </w:rPr>
  </w:style>
  <w:style w:type="character" w:styleId="Predvolenpsmoodseku2" w:customStyle="1">
    <w:name w:val="Predvolené písmo odseku2"/>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8Num11z1" w:customStyle="1">
    <w:name w:val="WW8Num11z1"/>
    <w:qFormat/>
    <w:rPr>
      <w:rFonts w:ascii="OpenSymbol" w:hAnsi="OpenSymbol" w:cs="OpenSymbol"/>
    </w:rPr>
  </w:style>
  <w:style w:type="character" w:styleId="WWAbsatzStandardschriftart1111" w:customStyle="1">
    <w:name w:val="WW-Absatz-Standardschriftart1111"/>
    <w:qFormat/>
    <w:rPr/>
  </w:style>
  <w:style w:type="character" w:styleId="WW8Num7z3" w:customStyle="1">
    <w:name w:val="WW8Num7z3"/>
    <w:qFormat/>
    <w:rPr>
      <w:b/>
    </w:rPr>
  </w:style>
  <w:style w:type="character" w:styleId="WW8Num7z4" w:customStyle="1">
    <w:name w:val="WW8Num7z4"/>
    <w:qFormat/>
    <w:rPr>
      <w:rFonts w:ascii="Times New Roman" w:hAnsi="Times New Roman" w:cs="Times New Roman"/>
    </w:rPr>
  </w:style>
  <w:style w:type="character" w:styleId="WWAbsatzStandardschriftart11111" w:customStyle="1">
    <w:name w:val="WW-Absatz-Standardschriftart11111"/>
    <w:qFormat/>
    <w:rPr/>
  </w:style>
  <w:style w:type="character" w:styleId="Odkaznakomentr1" w:customStyle="1">
    <w:name w:val="Odkaz na komentár1"/>
    <w:qFormat/>
    <w:rPr>
      <w:sz w:val="16"/>
      <w:szCs w:val="16"/>
    </w:rPr>
  </w:style>
  <w:style w:type="character" w:styleId="Pagenumber">
    <w:name w:val="page number"/>
    <w:basedOn w:val="Predvolenpsmoodseku1"/>
    <w:qFormat/>
    <w:rPr/>
  </w:style>
  <w:style w:type="character" w:styleId="Odrky" w:customStyle="1">
    <w:name w:val="Odrážky"/>
    <w:qFormat/>
    <w:rPr/>
  </w:style>
  <w:style w:type="character" w:styleId="Symbolypreslovanie" w:customStyle="1">
    <w:name w:val="Symboly pre číslovanie"/>
    <w:qFormat/>
    <w:rPr/>
  </w:style>
  <w:style w:type="character" w:styleId="Appleconvertedspace" w:customStyle="1">
    <w:name w:val="apple-converted-space"/>
    <w:qFormat/>
    <w:rPr/>
  </w:style>
  <w:style w:type="character" w:styleId="Ra" w:customStyle="1">
    <w:name w:val="ra"/>
    <w:qFormat/>
    <w:rPr/>
  </w:style>
  <w:style w:type="character" w:styleId="Tl" w:customStyle="1">
    <w:name w:val="tl"/>
    <w:qFormat/>
    <w:rPr/>
  </w:style>
  <w:style w:type="character" w:styleId="Internetovodkaz" w:customStyle="1">
    <w:name w:val="Internetový odkaz"/>
    <w:rPr/>
  </w:style>
  <w:style w:type="character" w:styleId="TextbublinyChar" w:customStyle="1">
    <w:name w:val="Text bubliny Char"/>
    <w:link w:val="Textbubliny"/>
    <w:uiPriority w:val="99"/>
    <w:semiHidden/>
    <w:qFormat/>
    <w:rsid w:val="00773db1"/>
    <w:rPr>
      <w:rFonts w:ascii="Lucida Grande" w:hAnsi="Lucida Grande" w:cs="Lucida Grande"/>
      <w:sz w:val="18"/>
      <w:szCs w:val="18"/>
    </w:rPr>
  </w:style>
  <w:style w:type="character" w:styleId="Annotationreference">
    <w:name w:val="annotation reference"/>
    <w:uiPriority w:val="99"/>
    <w:semiHidden/>
    <w:unhideWhenUsed/>
    <w:qFormat/>
    <w:rsid w:val="004c4f9a"/>
    <w:rPr>
      <w:sz w:val="18"/>
      <w:szCs w:val="18"/>
    </w:rPr>
  </w:style>
  <w:style w:type="character" w:styleId="TextkomentraChar" w:customStyle="1">
    <w:name w:val="Text komentára Char"/>
    <w:link w:val="Textkomentra"/>
    <w:uiPriority w:val="99"/>
    <w:semiHidden/>
    <w:qFormat/>
    <w:rsid w:val="004c4f9a"/>
    <w:rPr>
      <w:sz w:val="24"/>
      <w:szCs w:val="24"/>
    </w:rPr>
  </w:style>
  <w:style w:type="character" w:styleId="PredmetkomentraChar" w:customStyle="1">
    <w:name w:val="Predmet komentára Char"/>
    <w:link w:val="Predmetkomentra"/>
    <w:uiPriority w:val="99"/>
    <w:semiHidden/>
    <w:qFormat/>
    <w:rsid w:val="004c4f9a"/>
    <w:rPr>
      <w:b/>
      <w:bCs/>
      <w:sz w:val="24"/>
      <w:szCs w:val="24"/>
    </w:rPr>
  </w:style>
  <w:style w:type="character" w:styleId="UnresolvedMention">
    <w:name w:val="Unresolved Mention"/>
    <w:basedOn w:val="DefaultParagraphFont"/>
    <w:uiPriority w:val="99"/>
    <w:semiHidden/>
    <w:unhideWhenUsed/>
    <w:qFormat/>
    <w:rsid w:val="005d5a53"/>
    <w:rPr>
      <w:color w:val="605E5C"/>
      <w:shd w:fill="E1DFDD" w:val="clear"/>
    </w:rPr>
  </w:style>
  <w:style w:type="character" w:styleId="ListLabel1" w:customStyle="1">
    <w:name w:val="ListLabel 1"/>
    <w:qFormat/>
    <w:rPr>
      <w:b/>
      <w:sz w:val="22"/>
      <w:szCs w:val="22"/>
    </w:rPr>
  </w:style>
  <w:style w:type="character" w:styleId="ListLabel2" w:customStyle="1">
    <w:name w:val="ListLabel 2"/>
    <w:qFormat/>
    <w:rPr>
      <w:b w:val="false"/>
      <w:sz w:val="22"/>
      <w:szCs w:val="22"/>
    </w:rPr>
  </w:style>
  <w:style w:type="character" w:styleId="ListLabel3" w:customStyle="1">
    <w:name w:val="ListLabel 3"/>
    <w:qFormat/>
    <w:rPr>
      <w:rFonts w:eastAsia="Times New Roman" w:cs="Times New Roman"/>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eastAsia="Times New Roman" w:cs="Times New Roman"/>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eastAsia="Times New Roman" w:cs="Times New Roman"/>
      <w:b/>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eastAsia="Liberation Serif" w:cs="Times New Roman"/>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eastAsia="Liberation Serif" w:cs="Times New Roman"/>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lang w:val="sk-SK"/>
    </w:rPr>
  </w:style>
  <w:style w:type="character" w:styleId="ListLabel27" w:customStyle="1">
    <w:name w:val="ListLabel 27"/>
    <w:qFormat/>
    <w:rPr>
      <w:b/>
      <w:sz w:val="22"/>
      <w:szCs w:val="22"/>
    </w:rPr>
  </w:style>
  <w:style w:type="character" w:styleId="ListLabel28" w:customStyle="1">
    <w:name w:val="ListLabel 28"/>
    <w:qFormat/>
    <w:rPr>
      <w:b w:val="false"/>
      <w:sz w:val="22"/>
      <w:szCs w:val="22"/>
    </w:rPr>
  </w:style>
  <w:style w:type="character" w:styleId="ListLabel29" w:customStyle="1">
    <w:name w:val="ListLabel 29"/>
    <w:qFormat/>
    <w:rPr>
      <w:rFonts w:cs="Symbol"/>
      <w:sz w:val="16"/>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cs="Symbol"/>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Times New Roman"/>
      <w:b/>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cs="Symbol"/>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lang w:val="sk-SK"/>
    </w:rPr>
  </w:style>
  <w:style w:type="character" w:styleId="ListLabel48">
    <w:name w:val="ListLabel 48"/>
    <w:qFormat/>
    <w:rPr>
      <w:b/>
      <w:sz w:val="22"/>
      <w:szCs w:val="22"/>
    </w:rPr>
  </w:style>
  <w:style w:type="character" w:styleId="ListLabel49">
    <w:name w:val="ListLabel 49"/>
    <w:qFormat/>
    <w:rPr>
      <w:b w:val="false"/>
      <w:sz w:val="22"/>
      <w:szCs w:val="22"/>
    </w:rPr>
  </w:style>
  <w:style w:type="character" w:styleId="ListLabel50">
    <w:name w:val="ListLabel 50"/>
    <w:qFormat/>
    <w:rPr>
      <w:rFonts w:cs="Symbol"/>
      <w:sz w:val="16"/>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Times New Roman"/>
      <w:b/>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lang w:val="sk-SK"/>
    </w:rPr>
  </w:style>
  <w:style w:type="character" w:styleId="Navtveninternetovodkaz">
    <w:name w:val="Navštívený internetový odkaz"/>
    <w:rPr>
      <w:color w:val="954F72"/>
      <w:u w:val="single"/>
    </w:rPr>
  </w:style>
  <w:style w:type="character" w:styleId="ListLabel69">
    <w:name w:val="ListLabel 69"/>
    <w:qFormat/>
    <w:rPr>
      <w:b/>
      <w:sz w:val="22"/>
      <w:szCs w:val="22"/>
    </w:rPr>
  </w:style>
  <w:style w:type="character" w:styleId="ListLabel70">
    <w:name w:val="ListLabel 70"/>
    <w:qFormat/>
    <w:rPr>
      <w:b w:val="false"/>
      <w:sz w:val="22"/>
      <w:szCs w:val="22"/>
    </w:rPr>
  </w:style>
  <w:style w:type="character" w:styleId="ListLabel71">
    <w:name w:val="ListLabel 71"/>
    <w:qFormat/>
    <w:rPr>
      <w:rFonts w:cs="Symbol"/>
      <w:sz w:val="16"/>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Times New Roman"/>
      <w:b/>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ascii="Times New Roman" w:hAnsi="Times New Roman" w:eastAsia="SimSun;宋体" w:cs="Mangal"/>
      <w:b w:val="false"/>
      <w:i w:val="false"/>
      <w:caps w:val="false"/>
      <w:smallCaps w:val="false"/>
      <w:color w:val="000000"/>
      <w:spacing w:val="0"/>
      <w:kern w:val="2"/>
      <w:sz w:val="20"/>
      <w:szCs w:val="20"/>
      <w:highlight w:val="white"/>
      <w:u w:val="single"/>
      <w:lang w:bidi="hi-IN"/>
    </w:rPr>
  </w:style>
  <w:style w:type="character" w:styleId="ListLabel90">
    <w:name w:val="ListLabel 90"/>
    <w:qFormat/>
    <w:rPr>
      <w:rFonts w:ascii="Times New Roman" w:hAnsi="Times New Roman" w:eastAsia="SimSun;宋体" w:cs="Mangal"/>
      <w:b w:val="false"/>
      <w:i w:val="false"/>
      <w:caps w:val="false"/>
      <w:smallCaps w:val="false"/>
      <w:color w:val="000000"/>
      <w:spacing w:val="0"/>
      <w:kern w:val="2"/>
      <w:sz w:val="20"/>
      <w:szCs w:val="20"/>
      <w:highlight w:val="white"/>
      <w:u w:val="single"/>
      <w:lang w:val="sk-SK" w:bidi="hi-IN"/>
    </w:rPr>
  </w:style>
  <w:style w:type="character" w:styleId="ListLabel91">
    <w:name w:val="ListLabel 91"/>
    <w:qFormat/>
    <w:rPr>
      <w:lang w:val="sk-SK"/>
    </w:rPr>
  </w:style>
  <w:style w:type="character" w:styleId="TextkomentraChar1">
    <w:name w:val="Text komentára Char1"/>
    <w:qFormat/>
    <w:rPr>
      <w:lang w:val="en-US" w:eastAsia="zh-CN"/>
    </w:rPr>
  </w:style>
  <w:style w:type="character" w:styleId="Odkaznakomentr2">
    <w:name w:val="Odkaz na komentár2"/>
    <w:qFormat/>
    <w:rPr>
      <w:sz w:val="18"/>
      <w:szCs w:val="18"/>
    </w:rPr>
  </w:style>
  <w:style w:type="character" w:styleId="Predvolenpsmoodseku3">
    <w:name w:val="Predvolené písmo odseku3"/>
    <w:qFormat/>
    <w:rPr/>
  </w:style>
  <w:style w:type="character" w:styleId="Predvolenpsmoodseku4">
    <w:name w:val="Predvolené písmo odseku4"/>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2">
    <w:name w:val="WW8Num7z2"/>
    <w:qFormat/>
    <w:rPr/>
  </w:style>
  <w:style w:type="character" w:styleId="WW8Num7z1">
    <w:name w:val="WW8Num7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rFonts w:ascii="Symbol" w:hAnsi="Symbol" w:cs="Symbol"/>
    </w:rPr>
  </w:style>
  <w:style w:type="character" w:styleId="WW8Num5z2">
    <w:name w:val="WW8Num5z2"/>
    <w:qFormat/>
    <w:rPr>
      <w:rFonts w:ascii="Wingdings" w:hAnsi="Wingdings" w:cs="Wingdings"/>
    </w:rPr>
  </w:style>
  <w:style w:type="character" w:styleId="WW8Num5z1">
    <w:name w:val="WW8Num5z1"/>
    <w:qFormat/>
    <w:rPr>
      <w:rFonts w:ascii="Courier New" w:hAnsi="Courier New" w:cs="Courier New"/>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ListLabel92">
    <w:name w:val="ListLabel 92"/>
    <w:qFormat/>
    <w:rPr>
      <w:b/>
      <w:sz w:val="22"/>
      <w:szCs w:val="22"/>
    </w:rPr>
  </w:style>
  <w:style w:type="character" w:styleId="ListLabel93">
    <w:name w:val="ListLabel 93"/>
    <w:qFormat/>
    <w:rPr>
      <w:b w:val="false"/>
      <w:sz w:val="22"/>
      <w:szCs w:val="22"/>
    </w:rPr>
  </w:style>
  <w:style w:type="character" w:styleId="ListLabel94">
    <w:name w:val="ListLabel 94"/>
    <w:qFormat/>
    <w:rPr>
      <w:rFonts w:cs="Symbol"/>
      <w:sz w:val="16"/>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Times New Roman"/>
      <w:b/>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lang w:val="sk-SK"/>
    </w:rPr>
  </w:style>
  <w:style w:type="character" w:styleId="ListLabel113">
    <w:name w:val="ListLabel 113"/>
    <w:qFormat/>
    <w:rPr>
      <w:b/>
      <w:sz w:val="22"/>
      <w:szCs w:val="22"/>
    </w:rPr>
  </w:style>
  <w:style w:type="character" w:styleId="ListLabel114">
    <w:name w:val="ListLabel 114"/>
    <w:qFormat/>
    <w:rPr>
      <w:b w:val="false"/>
      <w:sz w:val="22"/>
      <w:szCs w:val="22"/>
    </w:rPr>
  </w:style>
  <w:style w:type="character" w:styleId="ListLabel115">
    <w:name w:val="ListLabel 115"/>
    <w:qFormat/>
    <w:rPr>
      <w:rFonts w:cs="Symbol"/>
      <w:sz w:val="16"/>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Times New Roman"/>
      <w:b/>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lang w:val="sk-SK"/>
    </w:rPr>
  </w:style>
  <w:style w:type="paragraph" w:styleId="Nadpis" w:customStyle="1">
    <w:name w:val="Nadpis"/>
    <w:basedOn w:val="Normal"/>
    <w:next w:val="Telotextu"/>
    <w:qFormat/>
    <w:pPr>
      <w:keepNext w:val="true"/>
      <w:spacing w:before="240" w:after="120"/>
    </w:pPr>
    <w:rPr/>
  </w:style>
  <w:style w:type="paragraph" w:styleId="Telotextu">
    <w:name w:val="Body Text"/>
    <w:basedOn w:val="Normal"/>
    <w:pPr>
      <w:snapToGrid w:val="false"/>
      <w:spacing w:before="120" w:after="0"/>
      <w:jc w:val="both"/>
    </w:pPr>
    <w:rPr>
      <w:sz w:val="24"/>
      <w:lang w:val="sk-SK"/>
    </w:rPr>
  </w:style>
  <w:style w:type="paragraph" w:styleId="Zoznam">
    <w:name w:val="List"/>
    <w:basedOn w:val="Telotextu"/>
    <w:pPr/>
    <w:rPr>
      <w:rFonts w:cs="Tahoma"/>
    </w:rPr>
  </w:style>
  <w:style w:type="paragraph" w:styleId="Popis">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Tahoma"/>
    </w:rPr>
  </w:style>
  <w:style w:type="paragraph" w:styleId="Caption">
    <w:name w:val="caption"/>
    <w:basedOn w:val="Normal"/>
    <w:qFormat/>
    <w:pPr>
      <w:suppressLineNumbers/>
      <w:spacing w:before="120" w:after="120"/>
    </w:pPr>
    <w:rPr/>
  </w:style>
  <w:style w:type="paragraph" w:styleId="Popisok" w:customStyle="1">
    <w:name w:val="Popisok"/>
    <w:basedOn w:val="Normal"/>
    <w:qFormat/>
    <w:pPr>
      <w:suppressLineNumbers/>
      <w:spacing w:before="120" w:after="120"/>
    </w:pPr>
    <w:rPr/>
  </w:style>
  <w:style w:type="paragraph" w:styleId="Obyajntext1" w:customStyle="1">
    <w:name w:val="Obyčajný text1"/>
    <w:basedOn w:val="Normal"/>
    <w:qFormat/>
    <w:pPr/>
    <w:rPr/>
  </w:style>
  <w:style w:type="paragraph" w:styleId="Textkomentra1" w:customStyle="1">
    <w:name w:val="Text komentára1"/>
    <w:basedOn w:val="Normal"/>
    <w:qFormat/>
    <w:pPr/>
    <w:rPr/>
  </w:style>
  <w:style w:type="paragraph" w:styleId="Predmetkomentra1" w:customStyle="1">
    <w:name w:val="Predmet komentára1"/>
    <w:basedOn w:val="Textkomentra1"/>
    <w:next w:val="Textkomentra1"/>
    <w:qFormat/>
    <w:pPr/>
    <w:rPr>
      <w:b/>
      <w:bCs/>
    </w:rPr>
  </w:style>
  <w:style w:type="paragraph" w:styleId="Textbubliny1" w:customStyle="1">
    <w:name w:val="Text bubliny1"/>
    <w:basedOn w:val="Normal"/>
    <w:qFormat/>
    <w:pPr/>
    <w:rPr/>
  </w:style>
  <w:style w:type="paragraph" w:styleId="Pta">
    <w:name w:val="Footer"/>
    <w:basedOn w:val="Normal"/>
    <w:pPr>
      <w:tabs>
        <w:tab w:val="clear" w:pos="709"/>
        <w:tab w:val="center" w:pos="4536" w:leader="none"/>
        <w:tab w:val="right" w:pos="9072" w:leader="none"/>
      </w:tabs>
    </w:pPr>
    <w:rPr/>
  </w:style>
  <w:style w:type="paragraph" w:styleId="Obsahrmca" w:customStyle="1">
    <w:name w:val="Obsah rámca"/>
    <w:basedOn w:val="Telotextu"/>
    <w:qFormat/>
    <w:pPr/>
    <w:rPr/>
  </w:style>
  <w:style w:type="paragraph" w:styleId="Hlavika">
    <w:name w:val="Header"/>
    <w:basedOn w:val="Normal"/>
    <w:pPr>
      <w:suppressLineNumbers/>
      <w:tabs>
        <w:tab w:val="clear" w:pos="709"/>
        <w:tab w:val="center" w:pos="4818" w:leader="none"/>
        <w:tab w:val="right" w:pos="9637" w:leader="none"/>
      </w:tabs>
    </w:pPr>
    <w:rPr/>
  </w:style>
  <w:style w:type="paragraph" w:styleId="Obsahtabuky" w:customStyle="1">
    <w:name w:val="Obsah tabuľky"/>
    <w:basedOn w:val="Normal"/>
    <w:qFormat/>
    <w:pPr>
      <w:widowControl w:val="false"/>
      <w:suppressLineNumbers/>
    </w:pPr>
    <w:rPr/>
  </w:style>
  <w:style w:type="paragraph" w:styleId="Odsekzoznamu1" w:customStyle="1">
    <w:name w:val="Odsek zoznamu1"/>
    <w:basedOn w:val="Normal"/>
    <w:qFormat/>
    <w:pPr>
      <w:ind w:left="708" w:hanging="0"/>
    </w:pPr>
    <w:rPr/>
  </w:style>
  <w:style w:type="paragraph" w:styleId="Nadpistabuky" w:customStyle="1">
    <w:name w:val="Nadpis tabuľky"/>
    <w:basedOn w:val="Obsahtabuky"/>
    <w:qFormat/>
    <w:pPr>
      <w:jc w:val="center"/>
    </w:pPr>
    <w:rPr>
      <w:b/>
      <w:bCs/>
    </w:rPr>
  </w:style>
  <w:style w:type="paragraph" w:styleId="BalloonText">
    <w:name w:val="Balloon Text"/>
    <w:basedOn w:val="Normal"/>
    <w:link w:val="TextbublinyChar"/>
    <w:uiPriority w:val="99"/>
    <w:semiHidden/>
    <w:unhideWhenUsed/>
    <w:qFormat/>
    <w:rsid w:val="00773db1"/>
    <w:pPr/>
    <w:rPr>
      <w:rFonts w:ascii="Lucida Grande" w:hAnsi="Lucida Grande" w:cs="Lucida Grande"/>
      <w:sz w:val="18"/>
      <w:szCs w:val="18"/>
    </w:rPr>
  </w:style>
  <w:style w:type="paragraph" w:styleId="Annotationtext">
    <w:name w:val="annotation text"/>
    <w:basedOn w:val="Normal"/>
    <w:link w:val="TextkomentraChar"/>
    <w:uiPriority w:val="99"/>
    <w:semiHidden/>
    <w:unhideWhenUsed/>
    <w:qFormat/>
    <w:rsid w:val="004c4f9a"/>
    <w:pPr/>
    <w:rPr>
      <w:sz w:val="24"/>
      <w:szCs w:val="24"/>
    </w:rPr>
  </w:style>
  <w:style w:type="paragraph" w:styleId="Annotationsubject">
    <w:name w:val="annotation subject"/>
    <w:basedOn w:val="Annotationtext"/>
    <w:next w:val="Annotationtext"/>
    <w:link w:val="PredmetkomentraChar"/>
    <w:uiPriority w:val="99"/>
    <w:semiHidden/>
    <w:unhideWhenUsed/>
    <w:qFormat/>
    <w:rsid w:val="004c4f9a"/>
    <w:pPr/>
    <w:rPr>
      <w:b/>
      <w:bCs/>
      <w:sz w:val="20"/>
      <w:szCs w:val="20"/>
    </w:rPr>
  </w:style>
  <w:style w:type="paragraph" w:styleId="ListParagraph">
    <w:name w:val="List Paragraph"/>
    <w:basedOn w:val="Normal"/>
    <w:uiPriority w:val="34"/>
    <w:qFormat/>
    <w:rsid w:val="00c871f4"/>
    <w:pPr>
      <w:spacing w:before="0" w:after="0"/>
      <w:ind w:left="720" w:hanging="0"/>
      <w:contextualSpacing/>
    </w:pPr>
    <w:rPr/>
  </w:style>
  <w:style w:type="paragraph" w:styleId="Textkomentra2">
    <w:name w:val="Text komentára2"/>
    <w:basedOn w:val="Normal"/>
    <w:qFormat/>
    <w:pPr/>
    <w:rPr>
      <w:sz w:val="24"/>
      <w:szCs w:val="24"/>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uiPriority w:val="59"/>
    <w:rsid w:val="007b6e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g-service.sk/" TargetMode="External"/><Relationship Id="rId3" Type="http://schemas.openxmlformats.org/officeDocument/2006/relationships/image" Target="media/image1.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1CF87-C84B-344B-B88B-92DF4819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Ultra_Office/6.2.3.2$Windows_x86 LibreOffice_project/</Application>
  <Pages>3</Pages>
  <Words>1394</Words>
  <Characters>8368</Characters>
  <CharactersWithSpaces>10350</CharactersWithSpaces>
  <Paragraphs>112</Paragraphs>
  <Company>ARIEM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2020-11-24T10:43:00Z</dcterms:created>
  <dc:creator>sekretariat</dc:creator>
  <dc:description/>
  <dc:language>sk-SK</dc:language>
  <cp:lastModifiedBy/>
  <cp:lastPrinted>2017-11-21T13:01:00Z</cp:lastPrinted>
  <dcterms:modified xsi:type="dcterms:W3CDTF">2022-11-09T11:51:50Z</dcterms:modified>
  <cp:revision>8</cp:revision>
  <dc:subject/>
  <dc:title>Z M L U V 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ARIEM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